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14A" w:rsidRPr="0096314A" w:rsidRDefault="00C8384E" w:rsidP="00C8384E">
      <w:pPr>
        <w:spacing w:line="360" w:lineRule="auto"/>
        <w:contextualSpacing/>
        <w:jc w:val="center"/>
        <w:rPr>
          <w:rFonts w:ascii="Arial" w:hAnsi="Arial" w:cs="Arial"/>
          <w:b/>
          <w:sz w:val="32"/>
          <w:szCs w:val="32"/>
          <w:lang w:val="id-ID"/>
        </w:rPr>
      </w:pPr>
      <w:r>
        <w:rPr>
          <w:noProof/>
          <w:lang w:val="id-ID" w:eastAsia="id-ID"/>
        </w:rPr>
        <w:drawing>
          <wp:inline distT="0" distB="0" distL="0" distR="0" wp14:anchorId="27EDCFF9" wp14:editId="69504B9C">
            <wp:extent cx="5732145" cy="1270377"/>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BEBA8EAE-BF5A-486C-A8C5-ECC9F3942E4B}">
                          <a14:imgProps xmlns:a14="http://schemas.microsoft.com/office/drawing/2010/main">
                            <a14:imgLayer r:embed="rId10">
                              <a14:imgEffect>
                                <a14:saturation sat="200000"/>
                              </a14:imgEffect>
                              <a14:imgEffect>
                                <a14:brightnessContrast contrast="20000"/>
                              </a14:imgEffect>
                            </a14:imgLayer>
                          </a14:imgProps>
                        </a:ext>
                      </a:extLst>
                    </a:blip>
                    <a:stretch>
                      <a:fillRect/>
                    </a:stretch>
                  </pic:blipFill>
                  <pic:spPr>
                    <a:xfrm>
                      <a:off x="0" y="0"/>
                      <a:ext cx="5732145" cy="1270377"/>
                    </a:xfrm>
                    <a:prstGeom prst="rect">
                      <a:avLst/>
                    </a:prstGeom>
                  </pic:spPr>
                </pic:pic>
              </a:graphicData>
            </a:graphic>
          </wp:inline>
        </w:drawing>
      </w:r>
    </w:p>
    <w:p w:rsidR="00257EF7" w:rsidRPr="00D964DC" w:rsidRDefault="00214F9B" w:rsidP="00E3236E">
      <w:pPr>
        <w:spacing w:line="360" w:lineRule="auto"/>
        <w:jc w:val="center"/>
        <w:rPr>
          <w:rFonts w:ascii="Arial" w:hAnsi="Arial" w:cs="Arial"/>
          <w:b/>
          <w:szCs w:val="26"/>
          <w:lang w:val="id-ID"/>
        </w:rPr>
      </w:pPr>
      <w:r w:rsidRPr="00D964DC">
        <w:rPr>
          <w:rFonts w:ascii="Arial" w:hAnsi="Arial" w:cs="Arial"/>
          <w:b/>
          <w:szCs w:val="26"/>
          <w:lang w:val="id-ID"/>
        </w:rPr>
        <w:t>KEPUTUSAN</w:t>
      </w:r>
      <w:r w:rsidR="00257EF7" w:rsidRPr="00D964DC">
        <w:rPr>
          <w:rFonts w:ascii="Arial" w:hAnsi="Arial" w:cs="Arial"/>
          <w:b/>
          <w:szCs w:val="26"/>
        </w:rPr>
        <w:t xml:space="preserve"> KEPALA DINAS PENDIDIKAN</w:t>
      </w:r>
      <w:r w:rsidR="00E3236E" w:rsidRPr="00D964DC">
        <w:rPr>
          <w:rFonts w:ascii="Arial" w:hAnsi="Arial" w:cs="Arial"/>
          <w:b/>
          <w:szCs w:val="26"/>
          <w:lang w:val="id-ID"/>
        </w:rPr>
        <w:t xml:space="preserve"> </w:t>
      </w:r>
      <w:r w:rsidR="00257EF7" w:rsidRPr="00D964DC">
        <w:rPr>
          <w:rFonts w:ascii="Arial" w:hAnsi="Arial" w:cs="Arial"/>
          <w:b/>
          <w:szCs w:val="26"/>
          <w:lang w:val="en-GB"/>
        </w:rPr>
        <w:t>KABUPATEN GRESIK</w:t>
      </w:r>
    </w:p>
    <w:p w:rsidR="00257EF7" w:rsidRPr="00C8384E" w:rsidRDefault="00257EF7" w:rsidP="00C8384E">
      <w:pPr>
        <w:spacing w:after="240" w:line="360" w:lineRule="auto"/>
        <w:ind w:left="426"/>
        <w:jc w:val="center"/>
        <w:rPr>
          <w:rFonts w:ascii="Arial" w:hAnsi="Arial" w:cs="Arial"/>
          <w:b/>
          <w:szCs w:val="26"/>
          <w:lang w:val="id-ID"/>
        </w:rPr>
      </w:pPr>
      <w:proofErr w:type="gramStart"/>
      <w:r w:rsidRPr="00D964DC">
        <w:rPr>
          <w:rFonts w:ascii="Arial" w:hAnsi="Arial" w:cs="Arial"/>
          <w:b/>
          <w:szCs w:val="26"/>
        </w:rPr>
        <w:t>NOMOR :</w:t>
      </w:r>
      <w:proofErr w:type="gramEnd"/>
      <w:r w:rsidRPr="00D964DC">
        <w:rPr>
          <w:rFonts w:ascii="Arial" w:hAnsi="Arial" w:cs="Arial"/>
          <w:b/>
          <w:szCs w:val="26"/>
        </w:rPr>
        <w:t xml:space="preserve"> 050/</w:t>
      </w:r>
      <w:r w:rsidR="00C8384E" w:rsidRPr="003317FE">
        <w:rPr>
          <w:rFonts w:ascii="Arial" w:hAnsi="Arial" w:cs="Arial"/>
          <w:b/>
          <w:color w:val="FFFFFF" w:themeColor="background1"/>
          <w:szCs w:val="26"/>
          <w:lang w:val="id-ID"/>
        </w:rPr>
        <w:t>00</w:t>
      </w:r>
      <w:r w:rsidR="003317FE" w:rsidRPr="003317FE">
        <w:rPr>
          <w:rFonts w:ascii="Arial" w:hAnsi="Arial" w:cs="Arial"/>
          <w:b/>
          <w:color w:val="FFFFFF" w:themeColor="background1"/>
          <w:szCs w:val="26"/>
          <w:lang w:val="id-ID"/>
        </w:rPr>
        <w:t>0</w:t>
      </w:r>
      <w:r w:rsidR="00C8384E" w:rsidRPr="003317FE">
        <w:rPr>
          <w:rFonts w:ascii="Arial" w:hAnsi="Arial" w:cs="Arial"/>
          <w:b/>
          <w:color w:val="FFFFFF" w:themeColor="background1"/>
          <w:szCs w:val="26"/>
          <w:lang w:val="id-ID"/>
        </w:rPr>
        <w:t>07</w:t>
      </w:r>
      <w:r w:rsidRPr="00D964DC">
        <w:rPr>
          <w:rFonts w:ascii="Arial" w:hAnsi="Arial" w:cs="Arial"/>
          <w:b/>
          <w:szCs w:val="26"/>
        </w:rPr>
        <w:t>/437.53/202</w:t>
      </w:r>
      <w:r w:rsidR="0033148A">
        <w:rPr>
          <w:rFonts w:ascii="Arial" w:hAnsi="Arial" w:cs="Arial"/>
          <w:b/>
          <w:szCs w:val="26"/>
          <w:lang w:val="id-ID"/>
        </w:rPr>
        <w:t>5</w:t>
      </w:r>
    </w:p>
    <w:p w:rsidR="00E3236E" w:rsidRPr="00D964DC" w:rsidRDefault="00257EF7" w:rsidP="00E3236E">
      <w:pPr>
        <w:spacing w:line="360" w:lineRule="auto"/>
        <w:jc w:val="center"/>
        <w:rPr>
          <w:rFonts w:ascii="Arial" w:hAnsi="Arial" w:cs="Arial"/>
          <w:b/>
          <w:szCs w:val="26"/>
          <w:lang w:val="id-ID"/>
        </w:rPr>
      </w:pPr>
      <w:r w:rsidRPr="00D964DC">
        <w:rPr>
          <w:rFonts w:ascii="Arial" w:hAnsi="Arial" w:cs="Arial"/>
          <w:b/>
          <w:szCs w:val="26"/>
        </w:rPr>
        <w:t>TENTANG</w:t>
      </w:r>
    </w:p>
    <w:p w:rsidR="0096314A" w:rsidRPr="00D964DC" w:rsidRDefault="00214F9B" w:rsidP="00214F9B">
      <w:pPr>
        <w:spacing w:line="360" w:lineRule="auto"/>
        <w:jc w:val="center"/>
        <w:rPr>
          <w:rFonts w:ascii="Arial" w:hAnsi="Arial" w:cs="Arial"/>
          <w:b/>
          <w:szCs w:val="26"/>
          <w:lang w:val="id-ID"/>
        </w:rPr>
      </w:pPr>
      <w:r w:rsidRPr="00D964DC">
        <w:rPr>
          <w:rFonts w:ascii="Arial" w:hAnsi="Arial" w:cs="Arial"/>
          <w:b/>
          <w:szCs w:val="26"/>
          <w:lang w:val="id-ID"/>
        </w:rPr>
        <w:t>INDIKATOR KINERJA UTAMA DAN INDIKATOR KINERJA INDIVIDU</w:t>
      </w:r>
    </w:p>
    <w:p w:rsidR="00257EF7" w:rsidRPr="00C8384E" w:rsidRDefault="00257EF7" w:rsidP="00C8384E">
      <w:pPr>
        <w:spacing w:after="240" w:line="360" w:lineRule="auto"/>
        <w:jc w:val="center"/>
        <w:rPr>
          <w:rFonts w:ascii="Arial" w:hAnsi="Arial" w:cs="Arial"/>
          <w:b/>
          <w:szCs w:val="26"/>
          <w:lang w:val="id-ID"/>
        </w:rPr>
      </w:pPr>
      <w:r w:rsidRPr="00D964DC">
        <w:rPr>
          <w:rFonts w:ascii="Arial" w:hAnsi="Arial" w:cs="Arial"/>
          <w:b/>
          <w:szCs w:val="26"/>
        </w:rPr>
        <w:t>DINAS PENDIDIKAN</w:t>
      </w:r>
      <w:r w:rsidRPr="00D964DC">
        <w:rPr>
          <w:rFonts w:ascii="Arial" w:hAnsi="Arial" w:cs="Arial"/>
          <w:b/>
          <w:szCs w:val="26"/>
          <w:lang w:val="en-GB"/>
        </w:rPr>
        <w:t xml:space="preserve"> KABUPATEN GRESIK</w:t>
      </w:r>
    </w:p>
    <w:p w:rsidR="00257EF7" w:rsidRPr="00C8384E" w:rsidRDefault="00257EF7" w:rsidP="00C8384E">
      <w:pPr>
        <w:tabs>
          <w:tab w:val="left" w:pos="2520"/>
        </w:tabs>
        <w:spacing w:after="240" w:line="360" w:lineRule="auto"/>
        <w:jc w:val="center"/>
        <w:rPr>
          <w:rFonts w:ascii="Arial" w:hAnsi="Arial" w:cs="Arial"/>
          <w:b/>
          <w:szCs w:val="26"/>
          <w:lang w:val="id-ID"/>
        </w:rPr>
      </w:pPr>
      <w:r w:rsidRPr="00D964DC">
        <w:rPr>
          <w:rFonts w:ascii="Arial" w:hAnsi="Arial" w:cs="Arial"/>
          <w:b/>
          <w:szCs w:val="26"/>
        </w:rPr>
        <w:t>KEPALA DINAS PENDIDIKAN KABUPATEN GRESIK</w:t>
      </w:r>
    </w:p>
    <w:tbl>
      <w:tblPr>
        <w:tblW w:w="0" w:type="auto"/>
        <w:tblInd w:w="108" w:type="dxa"/>
        <w:tblLook w:val="04A0" w:firstRow="1" w:lastRow="0" w:firstColumn="1" w:lastColumn="0" w:noHBand="0" w:noVBand="1"/>
      </w:tblPr>
      <w:tblGrid>
        <w:gridCol w:w="1697"/>
        <w:gridCol w:w="411"/>
        <w:gridCol w:w="7027"/>
      </w:tblGrid>
      <w:tr w:rsidR="000A5E83" w:rsidRPr="0096314A" w:rsidTr="00C8384E">
        <w:tc>
          <w:tcPr>
            <w:tcW w:w="1697" w:type="dxa"/>
          </w:tcPr>
          <w:p w:rsidR="00257EF7" w:rsidRPr="0096314A" w:rsidRDefault="00257EF7" w:rsidP="00E3236E">
            <w:pPr>
              <w:tabs>
                <w:tab w:val="left" w:pos="1853"/>
                <w:tab w:val="left" w:pos="2127"/>
              </w:tabs>
              <w:spacing w:line="360" w:lineRule="auto"/>
              <w:jc w:val="both"/>
              <w:rPr>
                <w:rFonts w:ascii="Arial" w:hAnsi="Arial" w:cs="Arial"/>
              </w:rPr>
            </w:pPr>
            <w:r w:rsidRPr="0096314A">
              <w:rPr>
                <w:rFonts w:ascii="Arial" w:hAnsi="Arial" w:cs="Arial"/>
              </w:rPr>
              <w:t>Menimbang</w:t>
            </w:r>
          </w:p>
        </w:tc>
        <w:tc>
          <w:tcPr>
            <w:tcW w:w="411" w:type="dxa"/>
          </w:tcPr>
          <w:p w:rsidR="00257EF7" w:rsidRPr="0096314A" w:rsidRDefault="00257EF7" w:rsidP="00E3236E">
            <w:pPr>
              <w:tabs>
                <w:tab w:val="left" w:pos="1853"/>
                <w:tab w:val="left" w:pos="2127"/>
              </w:tabs>
              <w:spacing w:line="360" w:lineRule="auto"/>
              <w:jc w:val="center"/>
              <w:rPr>
                <w:rFonts w:ascii="Arial" w:hAnsi="Arial" w:cs="Arial"/>
              </w:rPr>
            </w:pPr>
            <w:r w:rsidRPr="0096314A">
              <w:rPr>
                <w:rFonts w:ascii="Arial" w:hAnsi="Arial" w:cs="Arial"/>
              </w:rPr>
              <w:t>:</w:t>
            </w:r>
          </w:p>
        </w:tc>
        <w:tc>
          <w:tcPr>
            <w:tcW w:w="7027" w:type="dxa"/>
          </w:tcPr>
          <w:p w:rsidR="00257EF7" w:rsidRPr="0096314A" w:rsidRDefault="0096314A" w:rsidP="00E3236E">
            <w:pPr>
              <w:numPr>
                <w:ilvl w:val="0"/>
                <w:numId w:val="2"/>
              </w:numPr>
              <w:spacing w:line="360" w:lineRule="auto"/>
              <w:ind w:left="459"/>
              <w:jc w:val="both"/>
              <w:rPr>
                <w:rFonts w:ascii="Arial" w:hAnsi="Arial" w:cs="Arial"/>
              </w:rPr>
            </w:pPr>
            <w:r>
              <w:rPr>
                <w:rFonts w:ascii="Arial" w:hAnsi="Arial" w:cs="Arial"/>
                <w:lang w:val="id-ID"/>
              </w:rPr>
              <w:t xml:space="preserve">Bahwa </w:t>
            </w:r>
            <w:r w:rsidR="00D91515">
              <w:rPr>
                <w:rFonts w:ascii="Arial" w:hAnsi="Arial" w:cs="Arial"/>
                <w:lang w:val="id-ID"/>
              </w:rPr>
              <w:t>untuk mengukur</w:t>
            </w:r>
            <w:r>
              <w:rPr>
                <w:rFonts w:ascii="Arial" w:hAnsi="Arial" w:cs="Arial"/>
                <w:lang w:val="id-ID"/>
              </w:rPr>
              <w:t xml:space="preserve"> kinerja di lingkungan Dinas Pendidikan Kabupaten Gresik diperlukan alat ukur berupa Indikator Kinerja Utama dan Indikator Kinerja Individu;</w:t>
            </w:r>
          </w:p>
          <w:p w:rsidR="00257EF7" w:rsidRPr="0096314A" w:rsidRDefault="00214F9B" w:rsidP="000A09F3">
            <w:pPr>
              <w:numPr>
                <w:ilvl w:val="0"/>
                <w:numId w:val="2"/>
              </w:numPr>
              <w:spacing w:after="240" w:line="360" w:lineRule="auto"/>
              <w:ind w:left="459"/>
              <w:jc w:val="both"/>
              <w:rPr>
                <w:rFonts w:ascii="Arial" w:eastAsia="Bookman Old Style" w:hAnsi="Arial" w:cs="Arial"/>
              </w:rPr>
            </w:pPr>
            <w:r w:rsidRPr="0096314A">
              <w:rPr>
                <w:rFonts w:ascii="Arial" w:hAnsi="Arial" w:cs="Arial"/>
                <w:lang w:val="id-ID"/>
              </w:rPr>
              <w:t>bahwa berdasarkan pertimbangan sebagaimana dimaksud huruf a, perlu menetapkan Keputusan Kepala Dinas Pendidikan Kabupaten Gresik tentang Indikator Kinerja Utama dan Indikator Kinerja Individu Dinas Pendidikan Kabupaten Gresik</w:t>
            </w:r>
            <w:r w:rsidR="0096314A">
              <w:rPr>
                <w:rFonts w:ascii="Arial" w:hAnsi="Arial" w:cs="Arial"/>
                <w:lang w:val="id-ID"/>
              </w:rPr>
              <w:t>.</w:t>
            </w:r>
          </w:p>
        </w:tc>
      </w:tr>
      <w:tr w:rsidR="000A5E83" w:rsidRPr="0096314A" w:rsidTr="00C8384E">
        <w:tc>
          <w:tcPr>
            <w:tcW w:w="1697" w:type="dxa"/>
          </w:tcPr>
          <w:p w:rsidR="00257EF7" w:rsidRPr="0096314A" w:rsidRDefault="00257EF7" w:rsidP="000A09F3">
            <w:pPr>
              <w:tabs>
                <w:tab w:val="left" w:pos="1853"/>
                <w:tab w:val="left" w:pos="2127"/>
              </w:tabs>
              <w:spacing w:line="360" w:lineRule="auto"/>
              <w:jc w:val="both"/>
              <w:rPr>
                <w:rFonts w:ascii="Arial" w:hAnsi="Arial" w:cs="Arial"/>
              </w:rPr>
            </w:pPr>
            <w:r w:rsidRPr="0096314A">
              <w:rPr>
                <w:rFonts w:ascii="Arial" w:hAnsi="Arial" w:cs="Arial"/>
              </w:rPr>
              <w:t>Mengingat</w:t>
            </w:r>
          </w:p>
        </w:tc>
        <w:tc>
          <w:tcPr>
            <w:tcW w:w="411" w:type="dxa"/>
          </w:tcPr>
          <w:p w:rsidR="00257EF7" w:rsidRPr="0096314A" w:rsidRDefault="00257EF7" w:rsidP="000A09F3">
            <w:pPr>
              <w:tabs>
                <w:tab w:val="left" w:pos="1853"/>
                <w:tab w:val="left" w:pos="2127"/>
              </w:tabs>
              <w:spacing w:line="360" w:lineRule="auto"/>
              <w:jc w:val="center"/>
              <w:rPr>
                <w:rFonts w:ascii="Arial" w:hAnsi="Arial" w:cs="Arial"/>
              </w:rPr>
            </w:pPr>
            <w:r w:rsidRPr="0096314A">
              <w:rPr>
                <w:rFonts w:ascii="Arial" w:hAnsi="Arial" w:cs="Arial"/>
              </w:rPr>
              <w:t>:</w:t>
            </w:r>
          </w:p>
        </w:tc>
        <w:tc>
          <w:tcPr>
            <w:tcW w:w="7027" w:type="dxa"/>
          </w:tcPr>
          <w:p w:rsidR="00257EF7" w:rsidRPr="00C8384E" w:rsidRDefault="00214F9B" w:rsidP="00C8384E">
            <w:pPr>
              <w:pStyle w:val="ListParagraph"/>
              <w:numPr>
                <w:ilvl w:val="0"/>
                <w:numId w:val="21"/>
              </w:numPr>
              <w:spacing w:line="360" w:lineRule="auto"/>
              <w:ind w:left="478" w:hanging="426"/>
              <w:jc w:val="both"/>
              <w:rPr>
                <w:rFonts w:ascii="Arial" w:hAnsi="Arial" w:cs="Arial"/>
                <w:color w:val="FF0000"/>
                <w:sz w:val="22"/>
                <w:lang w:val="id-ID"/>
              </w:rPr>
            </w:pPr>
            <w:r w:rsidRPr="00C8384E">
              <w:rPr>
                <w:rFonts w:ascii="Arial" w:hAnsi="Arial" w:cs="Arial"/>
                <w:sz w:val="24"/>
                <w:lang w:val="id-ID"/>
              </w:rPr>
              <w:t xml:space="preserve">Undang-undang Nomor </w:t>
            </w:r>
            <w:r w:rsidR="0096314A" w:rsidRPr="00C8384E">
              <w:rPr>
                <w:rFonts w:ascii="Arial" w:hAnsi="Arial" w:cs="Arial"/>
                <w:sz w:val="24"/>
                <w:lang w:val="id-ID"/>
              </w:rPr>
              <w:t>12 Tahun 2011 tentang Pembentukan Peraturan Perundang-undangan;</w:t>
            </w:r>
          </w:p>
          <w:p w:rsidR="00257EF7" w:rsidRPr="0096314A" w:rsidRDefault="0096314A" w:rsidP="000A09F3">
            <w:pPr>
              <w:numPr>
                <w:ilvl w:val="0"/>
                <w:numId w:val="11"/>
              </w:numPr>
              <w:tabs>
                <w:tab w:val="left" w:pos="459"/>
              </w:tabs>
              <w:spacing w:line="360" w:lineRule="auto"/>
              <w:ind w:left="459" w:hanging="407"/>
              <w:jc w:val="both"/>
              <w:rPr>
                <w:rFonts w:ascii="Arial" w:hAnsi="Arial" w:cs="Arial"/>
              </w:rPr>
            </w:pPr>
            <w:r>
              <w:rPr>
                <w:rFonts w:ascii="Arial" w:hAnsi="Arial" w:cs="Arial"/>
                <w:lang w:val="id-ID"/>
              </w:rPr>
              <w:t>Undang-undang Nomor 23 Tahun 2024 tentang Pemerintahan Daerah;</w:t>
            </w:r>
          </w:p>
          <w:p w:rsidR="00E3236E" w:rsidRPr="0096314A" w:rsidRDefault="00B10CE0" w:rsidP="000A09F3">
            <w:pPr>
              <w:numPr>
                <w:ilvl w:val="0"/>
                <w:numId w:val="11"/>
              </w:numPr>
              <w:tabs>
                <w:tab w:val="left" w:pos="459"/>
              </w:tabs>
              <w:spacing w:line="360" w:lineRule="auto"/>
              <w:ind w:left="459" w:hanging="407"/>
              <w:jc w:val="both"/>
              <w:rPr>
                <w:rFonts w:ascii="Arial" w:hAnsi="Arial" w:cs="Arial"/>
              </w:rPr>
            </w:pPr>
            <w:r w:rsidRPr="0096314A">
              <w:rPr>
                <w:rFonts w:ascii="Arial" w:hAnsi="Arial" w:cs="Arial"/>
                <w:lang w:val="id-ID"/>
              </w:rPr>
              <w:t>Peraturan Presiden Nomor 29 Tahun 2014 tentang Sistem Akuntabilitas Kinerja Instansi Pemerintah;</w:t>
            </w:r>
          </w:p>
          <w:p w:rsidR="00257EF7" w:rsidRPr="0096314A" w:rsidRDefault="00B10CE0" w:rsidP="000A09F3">
            <w:pPr>
              <w:numPr>
                <w:ilvl w:val="0"/>
                <w:numId w:val="11"/>
              </w:numPr>
              <w:tabs>
                <w:tab w:val="left" w:pos="459"/>
              </w:tabs>
              <w:spacing w:line="360" w:lineRule="auto"/>
              <w:ind w:left="459" w:hanging="407"/>
              <w:jc w:val="both"/>
              <w:rPr>
                <w:rFonts w:ascii="Arial" w:hAnsi="Arial" w:cs="Arial"/>
              </w:rPr>
            </w:pPr>
            <w:r w:rsidRPr="0096314A">
              <w:rPr>
                <w:rFonts w:ascii="Arial" w:hAnsi="Arial" w:cs="Arial"/>
                <w:lang w:val="id-ID"/>
              </w:rPr>
              <w:t xml:space="preserve">Peraturan Menteri Negara Pendayagunaan Aparatur Negara Nomor </w:t>
            </w:r>
            <w:r w:rsidR="00384BB0">
              <w:rPr>
                <w:rFonts w:ascii="Arial" w:hAnsi="Arial" w:cs="Arial"/>
                <w:lang w:val="id-ID"/>
              </w:rPr>
              <w:t>9 Tahun 2007</w:t>
            </w:r>
            <w:r w:rsidRPr="0096314A">
              <w:rPr>
                <w:rFonts w:ascii="Arial" w:hAnsi="Arial" w:cs="Arial"/>
                <w:lang w:val="id-ID"/>
              </w:rPr>
              <w:t xml:space="preserve"> tentang Pedoman Umum Penetapan Indikator Kinerja Utama di Lingkungan Instansi Pemerintah;</w:t>
            </w:r>
          </w:p>
          <w:p w:rsidR="00B10CE0" w:rsidRPr="0096314A" w:rsidRDefault="00B10CE0" w:rsidP="000A09F3">
            <w:pPr>
              <w:numPr>
                <w:ilvl w:val="0"/>
                <w:numId w:val="11"/>
              </w:numPr>
              <w:tabs>
                <w:tab w:val="left" w:pos="459"/>
              </w:tabs>
              <w:spacing w:line="360" w:lineRule="auto"/>
              <w:ind w:left="459" w:hanging="407"/>
              <w:jc w:val="both"/>
              <w:rPr>
                <w:rFonts w:ascii="Arial" w:hAnsi="Arial" w:cs="Arial"/>
              </w:rPr>
            </w:pPr>
            <w:r w:rsidRPr="0096314A">
              <w:rPr>
                <w:rFonts w:ascii="Arial" w:hAnsi="Arial" w:cs="Arial"/>
                <w:lang w:val="id-ID"/>
              </w:rPr>
              <w:t>Pera</w:t>
            </w:r>
            <w:r w:rsidR="00384BB0">
              <w:rPr>
                <w:rFonts w:ascii="Arial" w:hAnsi="Arial" w:cs="Arial"/>
                <w:lang w:val="id-ID"/>
              </w:rPr>
              <w:t xml:space="preserve">turan Menteri </w:t>
            </w:r>
            <w:r w:rsidR="00384BB0" w:rsidRPr="0096314A">
              <w:rPr>
                <w:rFonts w:ascii="Arial" w:hAnsi="Arial" w:cs="Arial"/>
                <w:lang w:val="id-ID"/>
              </w:rPr>
              <w:t xml:space="preserve">Negara Pendayagunaan Aparatur Negara </w:t>
            </w:r>
            <w:r w:rsidR="00384BB0">
              <w:rPr>
                <w:rFonts w:ascii="Arial" w:hAnsi="Arial" w:cs="Arial"/>
                <w:lang w:val="id-ID"/>
              </w:rPr>
              <w:t xml:space="preserve">dan Reformasi Birokrasi Republik Indonesia </w:t>
            </w:r>
            <w:r w:rsidR="00384BB0" w:rsidRPr="0096314A">
              <w:rPr>
                <w:rFonts w:ascii="Arial" w:hAnsi="Arial" w:cs="Arial"/>
                <w:lang w:val="id-ID"/>
              </w:rPr>
              <w:t>Nomor</w:t>
            </w:r>
            <w:r w:rsidR="00384BB0">
              <w:rPr>
                <w:rFonts w:ascii="Arial" w:hAnsi="Arial" w:cs="Arial"/>
                <w:lang w:val="id-ID"/>
              </w:rPr>
              <w:t xml:space="preserve"> 53 tahun 2014 tentang Petunjuk Teknis Perjanjian Kinerja, Peaporan Kinerja dan Tata Cara Reviu Atas Laporan Kinerja;</w:t>
            </w:r>
          </w:p>
          <w:p w:rsidR="00257EF7" w:rsidRPr="0096314A" w:rsidRDefault="00B10CE0" w:rsidP="000A09F3">
            <w:pPr>
              <w:numPr>
                <w:ilvl w:val="0"/>
                <w:numId w:val="11"/>
              </w:numPr>
              <w:tabs>
                <w:tab w:val="left" w:pos="459"/>
              </w:tabs>
              <w:spacing w:line="360" w:lineRule="auto"/>
              <w:ind w:left="459" w:hanging="407"/>
              <w:jc w:val="both"/>
              <w:rPr>
                <w:rFonts w:ascii="Arial" w:hAnsi="Arial" w:cs="Arial"/>
              </w:rPr>
            </w:pPr>
            <w:r w:rsidRPr="0096314A">
              <w:rPr>
                <w:rFonts w:ascii="Arial" w:hAnsi="Arial" w:cs="Arial"/>
                <w:lang w:val="id-ID"/>
              </w:rPr>
              <w:t>Per</w:t>
            </w:r>
            <w:r w:rsidR="00384BB0">
              <w:rPr>
                <w:rFonts w:ascii="Arial" w:hAnsi="Arial" w:cs="Arial"/>
                <w:lang w:val="id-ID"/>
              </w:rPr>
              <w:t xml:space="preserve">aturan Menteri </w:t>
            </w:r>
            <w:r w:rsidR="00384BB0" w:rsidRPr="0096314A">
              <w:rPr>
                <w:rFonts w:ascii="Arial" w:hAnsi="Arial" w:cs="Arial"/>
                <w:lang w:val="id-ID"/>
              </w:rPr>
              <w:t>Negara Pendayagunaan Aparatur Negara</w:t>
            </w:r>
            <w:r w:rsidR="00384BB0">
              <w:rPr>
                <w:rFonts w:ascii="Arial" w:hAnsi="Arial" w:cs="Arial"/>
                <w:lang w:val="id-ID"/>
              </w:rPr>
              <w:t xml:space="preserve"> dan Reformasi Birokrasi Republik Indonesia Nomor 8 Tahun 2021 tentang Sistem Manajemen Kinerja Pegawai Negeri Sipil;</w:t>
            </w:r>
          </w:p>
          <w:p w:rsidR="00257EF7" w:rsidRPr="0096314A" w:rsidRDefault="00B10CE0" w:rsidP="000A09F3">
            <w:pPr>
              <w:numPr>
                <w:ilvl w:val="0"/>
                <w:numId w:val="11"/>
              </w:numPr>
              <w:tabs>
                <w:tab w:val="left" w:pos="459"/>
              </w:tabs>
              <w:spacing w:line="360" w:lineRule="auto"/>
              <w:ind w:left="459" w:hanging="407"/>
              <w:jc w:val="both"/>
              <w:rPr>
                <w:rFonts w:ascii="Arial" w:hAnsi="Arial" w:cs="Arial"/>
              </w:rPr>
            </w:pPr>
            <w:r w:rsidRPr="0096314A">
              <w:rPr>
                <w:rFonts w:ascii="Arial" w:hAnsi="Arial" w:cs="Arial"/>
                <w:lang w:val="id-ID"/>
              </w:rPr>
              <w:lastRenderedPageBreak/>
              <w:t xml:space="preserve">Peraturan Daerah Kabupaten Gresik Nomor </w:t>
            </w:r>
            <w:r w:rsidR="003317FE">
              <w:rPr>
                <w:rFonts w:ascii="Arial" w:hAnsi="Arial" w:cs="Arial"/>
                <w:lang w:val="id-ID"/>
              </w:rPr>
              <w:t>3</w:t>
            </w:r>
            <w:r w:rsidRPr="0096314A">
              <w:rPr>
                <w:rFonts w:ascii="Arial" w:hAnsi="Arial" w:cs="Arial"/>
                <w:lang w:val="id-ID"/>
              </w:rPr>
              <w:t xml:space="preserve"> Tahun </w:t>
            </w:r>
            <w:r w:rsidR="003317FE">
              <w:rPr>
                <w:rFonts w:ascii="Arial" w:hAnsi="Arial" w:cs="Arial"/>
                <w:lang w:val="id-ID"/>
              </w:rPr>
              <w:t>2025</w:t>
            </w:r>
            <w:r w:rsidRPr="0096314A">
              <w:rPr>
                <w:rFonts w:ascii="Arial" w:hAnsi="Arial" w:cs="Arial"/>
                <w:lang w:val="id-ID"/>
              </w:rPr>
              <w:t xml:space="preserve"> tentang Rencana Pembangunan Jangka Menengah Daerah Tahun </w:t>
            </w:r>
            <w:r w:rsidR="003317FE">
              <w:rPr>
                <w:rFonts w:ascii="Arial" w:hAnsi="Arial" w:cs="Arial"/>
                <w:lang w:val="id-ID"/>
              </w:rPr>
              <w:t>2025</w:t>
            </w:r>
            <w:r w:rsidRPr="0096314A">
              <w:rPr>
                <w:rFonts w:ascii="Arial" w:hAnsi="Arial" w:cs="Arial"/>
                <w:lang w:val="id-ID"/>
              </w:rPr>
              <w:t>-</w:t>
            </w:r>
            <w:r w:rsidR="003317FE">
              <w:rPr>
                <w:rFonts w:ascii="Arial" w:hAnsi="Arial" w:cs="Arial"/>
                <w:lang w:val="id-ID"/>
              </w:rPr>
              <w:t>2029</w:t>
            </w:r>
            <w:r w:rsidRPr="0096314A">
              <w:rPr>
                <w:rFonts w:ascii="Arial" w:hAnsi="Arial" w:cs="Arial"/>
                <w:lang w:val="id-ID"/>
              </w:rPr>
              <w:t>;</w:t>
            </w:r>
          </w:p>
          <w:p w:rsidR="00257EF7" w:rsidRPr="0096314A" w:rsidRDefault="00B10CE0" w:rsidP="000A09F3">
            <w:pPr>
              <w:numPr>
                <w:ilvl w:val="0"/>
                <w:numId w:val="11"/>
              </w:numPr>
              <w:tabs>
                <w:tab w:val="left" w:pos="459"/>
              </w:tabs>
              <w:spacing w:line="360" w:lineRule="auto"/>
              <w:ind w:left="459" w:hanging="407"/>
              <w:jc w:val="both"/>
              <w:rPr>
                <w:rFonts w:ascii="Arial" w:hAnsi="Arial" w:cs="Arial"/>
              </w:rPr>
            </w:pPr>
            <w:r w:rsidRPr="0096314A">
              <w:rPr>
                <w:rFonts w:ascii="Arial" w:hAnsi="Arial" w:cs="Arial"/>
                <w:lang w:val="id-ID"/>
              </w:rPr>
              <w:t>Peraturan Daerah Kabupaten Gresik Nomor 12 Tahun 2016 tentang Pembentukan Perangkat Daerah Kabupaten Gresik sebagaimana telah diubah dengan Peraturan Daerah Nomor 15 Tahun 2020;</w:t>
            </w:r>
          </w:p>
          <w:p w:rsidR="00257EF7" w:rsidRPr="0096314A" w:rsidRDefault="00842F58" w:rsidP="000A09F3">
            <w:pPr>
              <w:numPr>
                <w:ilvl w:val="0"/>
                <w:numId w:val="11"/>
              </w:numPr>
              <w:tabs>
                <w:tab w:val="left" w:pos="459"/>
              </w:tabs>
              <w:spacing w:after="240" w:line="360" w:lineRule="auto"/>
              <w:ind w:left="459" w:hanging="407"/>
              <w:jc w:val="both"/>
              <w:rPr>
                <w:rFonts w:ascii="Arial" w:hAnsi="Arial" w:cs="Arial"/>
              </w:rPr>
            </w:pPr>
            <w:r w:rsidRPr="0096314A">
              <w:rPr>
                <w:rFonts w:ascii="Arial" w:hAnsi="Arial" w:cs="Arial"/>
                <w:lang w:val="id-ID"/>
              </w:rPr>
              <w:t xml:space="preserve">Peraturan Bupati Gresik Nomor </w:t>
            </w:r>
            <w:r w:rsidR="0096314A">
              <w:rPr>
                <w:rFonts w:ascii="Arial" w:hAnsi="Arial" w:cs="Arial"/>
                <w:lang w:val="id-ID"/>
              </w:rPr>
              <w:t>79</w:t>
            </w:r>
            <w:r w:rsidRPr="0096314A">
              <w:rPr>
                <w:rFonts w:ascii="Arial" w:hAnsi="Arial" w:cs="Arial"/>
                <w:lang w:val="id-ID"/>
              </w:rPr>
              <w:t xml:space="preserve"> Tahun </w:t>
            </w:r>
            <w:r w:rsidR="0096314A">
              <w:rPr>
                <w:rFonts w:ascii="Arial" w:hAnsi="Arial" w:cs="Arial"/>
                <w:lang w:val="id-ID"/>
              </w:rPr>
              <w:t>2022</w:t>
            </w:r>
            <w:r w:rsidRPr="0096314A">
              <w:rPr>
                <w:rFonts w:ascii="Arial" w:hAnsi="Arial" w:cs="Arial"/>
                <w:lang w:val="id-ID"/>
              </w:rPr>
              <w:t xml:space="preserve"> tentang Kedudukan, Susunan Organisasi, Tugas, Fungsi dan Tata Kerja Dinas Pendidikan Kabupaten Gresik.</w:t>
            </w:r>
          </w:p>
        </w:tc>
      </w:tr>
      <w:tr w:rsidR="000A5E83" w:rsidRPr="0096314A" w:rsidTr="00C8384E">
        <w:tc>
          <w:tcPr>
            <w:tcW w:w="9135" w:type="dxa"/>
            <w:gridSpan w:val="3"/>
          </w:tcPr>
          <w:p w:rsidR="000A09F3" w:rsidRPr="000A09F3" w:rsidRDefault="00813AA0" w:rsidP="00C8384E">
            <w:pPr>
              <w:spacing w:before="240" w:line="480" w:lineRule="auto"/>
              <w:jc w:val="center"/>
              <w:rPr>
                <w:rFonts w:ascii="Arial" w:hAnsi="Arial" w:cs="Arial"/>
                <w:lang w:val="id-ID"/>
              </w:rPr>
            </w:pPr>
            <w:r w:rsidRPr="0096314A">
              <w:rPr>
                <w:rFonts w:ascii="Arial" w:hAnsi="Arial" w:cs="Arial"/>
              </w:rPr>
              <w:lastRenderedPageBreak/>
              <w:t>MEMUTUSKAN:</w:t>
            </w:r>
          </w:p>
        </w:tc>
      </w:tr>
      <w:tr w:rsidR="000A5E83" w:rsidRPr="0096314A" w:rsidTr="00C8384E">
        <w:tc>
          <w:tcPr>
            <w:tcW w:w="1697" w:type="dxa"/>
          </w:tcPr>
          <w:p w:rsidR="00257EF7" w:rsidRPr="0096314A" w:rsidRDefault="00257EF7" w:rsidP="00E3236E">
            <w:pPr>
              <w:tabs>
                <w:tab w:val="left" w:pos="1853"/>
                <w:tab w:val="left" w:pos="2127"/>
              </w:tabs>
              <w:spacing w:line="360" w:lineRule="auto"/>
              <w:jc w:val="both"/>
              <w:rPr>
                <w:rFonts w:ascii="Arial" w:hAnsi="Arial" w:cs="Arial"/>
              </w:rPr>
            </w:pPr>
            <w:r w:rsidRPr="0096314A">
              <w:rPr>
                <w:rFonts w:ascii="Arial" w:hAnsi="Arial" w:cs="Arial"/>
              </w:rPr>
              <w:t>Menetapkan</w:t>
            </w:r>
          </w:p>
        </w:tc>
        <w:tc>
          <w:tcPr>
            <w:tcW w:w="411" w:type="dxa"/>
          </w:tcPr>
          <w:p w:rsidR="00257EF7" w:rsidRPr="0096314A" w:rsidRDefault="00257EF7" w:rsidP="00E3236E">
            <w:pPr>
              <w:tabs>
                <w:tab w:val="left" w:pos="1853"/>
                <w:tab w:val="left" w:pos="2127"/>
              </w:tabs>
              <w:spacing w:line="360" w:lineRule="auto"/>
              <w:jc w:val="center"/>
              <w:rPr>
                <w:rFonts w:ascii="Arial" w:hAnsi="Arial" w:cs="Arial"/>
              </w:rPr>
            </w:pPr>
            <w:r w:rsidRPr="0096314A">
              <w:rPr>
                <w:rFonts w:ascii="Arial" w:hAnsi="Arial" w:cs="Arial"/>
              </w:rPr>
              <w:t>:</w:t>
            </w:r>
          </w:p>
        </w:tc>
        <w:tc>
          <w:tcPr>
            <w:tcW w:w="7027" w:type="dxa"/>
          </w:tcPr>
          <w:p w:rsidR="00257EF7" w:rsidRPr="0096314A" w:rsidRDefault="00257EF7" w:rsidP="000A09F3">
            <w:pPr>
              <w:spacing w:after="240" w:line="360" w:lineRule="auto"/>
              <w:jc w:val="both"/>
              <w:rPr>
                <w:rFonts w:ascii="Arial" w:hAnsi="Arial" w:cs="Arial"/>
              </w:rPr>
            </w:pPr>
          </w:p>
        </w:tc>
      </w:tr>
      <w:tr w:rsidR="000A5E83" w:rsidRPr="0096314A" w:rsidTr="00C8384E">
        <w:tc>
          <w:tcPr>
            <w:tcW w:w="1697" w:type="dxa"/>
          </w:tcPr>
          <w:p w:rsidR="00257EF7" w:rsidRPr="0096314A" w:rsidRDefault="00257EF7" w:rsidP="00E3236E">
            <w:pPr>
              <w:tabs>
                <w:tab w:val="left" w:pos="1853"/>
                <w:tab w:val="left" w:pos="2127"/>
              </w:tabs>
              <w:spacing w:line="360" w:lineRule="auto"/>
              <w:jc w:val="both"/>
              <w:rPr>
                <w:rFonts w:ascii="Arial" w:hAnsi="Arial" w:cs="Arial"/>
              </w:rPr>
            </w:pPr>
            <w:r w:rsidRPr="0096314A">
              <w:rPr>
                <w:rFonts w:ascii="Arial" w:hAnsi="Arial" w:cs="Arial"/>
              </w:rPr>
              <w:t>KESATU</w:t>
            </w:r>
          </w:p>
        </w:tc>
        <w:tc>
          <w:tcPr>
            <w:tcW w:w="411" w:type="dxa"/>
          </w:tcPr>
          <w:p w:rsidR="00257EF7" w:rsidRPr="0096314A" w:rsidRDefault="00257EF7" w:rsidP="00E3236E">
            <w:pPr>
              <w:tabs>
                <w:tab w:val="left" w:pos="1853"/>
                <w:tab w:val="left" w:pos="2127"/>
              </w:tabs>
              <w:spacing w:line="360" w:lineRule="auto"/>
              <w:jc w:val="center"/>
              <w:rPr>
                <w:rFonts w:ascii="Arial" w:hAnsi="Arial" w:cs="Arial"/>
              </w:rPr>
            </w:pPr>
            <w:r w:rsidRPr="0096314A">
              <w:rPr>
                <w:rFonts w:ascii="Arial" w:hAnsi="Arial" w:cs="Arial"/>
              </w:rPr>
              <w:t>:</w:t>
            </w:r>
          </w:p>
        </w:tc>
        <w:tc>
          <w:tcPr>
            <w:tcW w:w="7027" w:type="dxa"/>
          </w:tcPr>
          <w:p w:rsidR="00257EF7" w:rsidRPr="0096314A" w:rsidRDefault="00842F58" w:rsidP="00BA687D">
            <w:pPr>
              <w:spacing w:after="240" w:line="360" w:lineRule="auto"/>
              <w:jc w:val="both"/>
              <w:rPr>
                <w:rFonts w:ascii="Arial" w:hAnsi="Arial" w:cs="Arial"/>
                <w:lang w:val="id-ID"/>
              </w:rPr>
            </w:pPr>
            <w:r w:rsidRPr="0096314A">
              <w:rPr>
                <w:rFonts w:ascii="Arial" w:hAnsi="Arial" w:cs="Arial"/>
                <w:lang w:val="id-ID"/>
              </w:rPr>
              <w:t>Menetapkan Indikator Kinerja Utama dan Indikator Kinerja Individu Dinas Pendidikan sebagaimana tercantum dalam Lampiran yang merupakan bagian yang tidak terpisahkan dari Keputusan ini.</w:t>
            </w:r>
          </w:p>
        </w:tc>
      </w:tr>
      <w:tr w:rsidR="00BA687D" w:rsidRPr="0096314A" w:rsidTr="00C8384E">
        <w:tc>
          <w:tcPr>
            <w:tcW w:w="1697" w:type="dxa"/>
          </w:tcPr>
          <w:p w:rsidR="00BA687D" w:rsidRPr="00BA687D" w:rsidRDefault="00BA687D" w:rsidP="00BA687D">
            <w:pPr>
              <w:tabs>
                <w:tab w:val="left" w:pos="1853"/>
                <w:tab w:val="left" w:pos="2127"/>
              </w:tabs>
              <w:spacing w:line="360" w:lineRule="auto"/>
              <w:jc w:val="both"/>
              <w:rPr>
                <w:rFonts w:ascii="Arial" w:hAnsi="Arial" w:cs="Arial"/>
                <w:lang w:val="id-ID"/>
              </w:rPr>
            </w:pPr>
            <w:r>
              <w:rPr>
                <w:rFonts w:ascii="Arial" w:hAnsi="Arial" w:cs="Arial"/>
                <w:lang w:val="id-ID"/>
              </w:rPr>
              <w:t>KEDUA</w:t>
            </w:r>
          </w:p>
        </w:tc>
        <w:tc>
          <w:tcPr>
            <w:tcW w:w="411" w:type="dxa"/>
          </w:tcPr>
          <w:p w:rsidR="00BA687D" w:rsidRPr="00BA687D" w:rsidRDefault="00BA687D" w:rsidP="00E3236E">
            <w:pPr>
              <w:tabs>
                <w:tab w:val="left" w:pos="1853"/>
                <w:tab w:val="left" w:pos="2127"/>
              </w:tabs>
              <w:spacing w:line="360" w:lineRule="auto"/>
              <w:jc w:val="center"/>
              <w:rPr>
                <w:rFonts w:ascii="Arial" w:hAnsi="Arial" w:cs="Arial"/>
                <w:lang w:val="id-ID"/>
              </w:rPr>
            </w:pPr>
            <w:r>
              <w:rPr>
                <w:rFonts w:ascii="Arial" w:hAnsi="Arial" w:cs="Arial"/>
                <w:lang w:val="id-ID"/>
              </w:rPr>
              <w:t>:</w:t>
            </w:r>
          </w:p>
        </w:tc>
        <w:tc>
          <w:tcPr>
            <w:tcW w:w="7027" w:type="dxa"/>
          </w:tcPr>
          <w:p w:rsidR="00BA687D" w:rsidRPr="0096314A" w:rsidRDefault="00BA687D" w:rsidP="00BA687D">
            <w:pPr>
              <w:spacing w:after="240" w:line="360" w:lineRule="auto"/>
              <w:jc w:val="both"/>
              <w:rPr>
                <w:rFonts w:ascii="Arial" w:hAnsi="Arial" w:cs="Arial"/>
                <w:lang w:val="id-ID"/>
              </w:rPr>
            </w:pPr>
            <w:r w:rsidRPr="00BA687D">
              <w:rPr>
                <w:rFonts w:ascii="Arial" w:hAnsi="Arial" w:cs="Arial"/>
                <w:lang w:val="id-ID"/>
              </w:rPr>
              <w:t>Indikator Kinerja Individu masing-masing Bidang di</w:t>
            </w:r>
            <w:r>
              <w:rPr>
                <w:rFonts w:ascii="Arial" w:hAnsi="Arial" w:cs="Arial"/>
                <w:lang w:val="id-ID"/>
              </w:rPr>
              <w:t xml:space="preserve"> lingkungan Dinas Pendidikan</w:t>
            </w:r>
            <w:r w:rsidRPr="00BA687D">
              <w:rPr>
                <w:rFonts w:ascii="Arial" w:hAnsi="Arial" w:cs="Arial"/>
                <w:lang w:val="id-ID"/>
              </w:rPr>
              <w:t xml:space="preserve"> Kabupaten Gresik sebagaimana</w:t>
            </w:r>
            <w:r>
              <w:rPr>
                <w:rFonts w:ascii="Arial" w:hAnsi="Arial" w:cs="Arial"/>
                <w:lang w:val="id-ID"/>
              </w:rPr>
              <w:t xml:space="preserve"> tercantum dalam Lampiran </w:t>
            </w:r>
            <w:r w:rsidRPr="00BA687D">
              <w:rPr>
                <w:rFonts w:ascii="Arial" w:hAnsi="Arial" w:cs="Arial"/>
                <w:lang w:val="id-ID"/>
              </w:rPr>
              <w:t>yang merupakan bagian tidak</w:t>
            </w:r>
            <w:r>
              <w:rPr>
                <w:rFonts w:ascii="Arial" w:hAnsi="Arial" w:cs="Arial"/>
                <w:lang w:val="id-ID"/>
              </w:rPr>
              <w:t xml:space="preserve"> </w:t>
            </w:r>
            <w:r w:rsidRPr="00BA687D">
              <w:rPr>
                <w:rFonts w:ascii="Arial" w:hAnsi="Arial" w:cs="Arial"/>
                <w:lang w:val="id-ID"/>
              </w:rPr>
              <w:t>terpisahkan dari Keputusan ini.</w:t>
            </w:r>
          </w:p>
        </w:tc>
      </w:tr>
      <w:tr w:rsidR="00E3236E" w:rsidRPr="0096314A" w:rsidTr="00C8384E">
        <w:tc>
          <w:tcPr>
            <w:tcW w:w="1697" w:type="dxa"/>
          </w:tcPr>
          <w:p w:rsidR="00257EF7" w:rsidRPr="00BA687D" w:rsidRDefault="00BA687D" w:rsidP="00BA687D">
            <w:pPr>
              <w:tabs>
                <w:tab w:val="left" w:pos="1853"/>
                <w:tab w:val="left" w:pos="2127"/>
              </w:tabs>
              <w:spacing w:line="360" w:lineRule="auto"/>
              <w:jc w:val="both"/>
              <w:rPr>
                <w:rFonts w:ascii="Arial" w:hAnsi="Arial" w:cs="Arial"/>
                <w:lang w:val="id-ID"/>
              </w:rPr>
            </w:pPr>
            <w:r>
              <w:rPr>
                <w:rFonts w:ascii="Arial" w:hAnsi="Arial" w:cs="Arial"/>
                <w:lang w:val="id-ID"/>
              </w:rPr>
              <w:t>KETIGA</w:t>
            </w:r>
          </w:p>
        </w:tc>
        <w:tc>
          <w:tcPr>
            <w:tcW w:w="411" w:type="dxa"/>
          </w:tcPr>
          <w:p w:rsidR="00257EF7" w:rsidRPr="0096314A" w:rsidRDefault="00257EF7" w:rsidP="00E3236E">
            <w:pPr>
              <w:tabs>
                <w:tab w:val="left" w:pos="1853"/>
                <w:tab w:val="left" w:pos="2127"/>
              </w:tabs>
              <w:spacing w:line="360" w:lineRule="auto"/>
              <w:jc w:val="center"/>
              <w:rPr>
                <w:rFonts w:ascii="Arial" w:hAnsi="Arial" w:cs="Arial"/>
              </w:rPr>
            </w:pPr>
            <w:r w:rsidRPr="0096314A">
              <w:rPr>
                <w:rFonts w:ascii="Arial" w:hAnsi="Arial" w:cs="Arial"/>
              </w:rPr>
              <w:t>:</w:t>
            </w:r>
          </w:p>
          <w:p w:rsidR="00257EF7" w:rsidRPr="00384BB0" w:rsidRDefault="00257EF7" w:rsidP="00BA687D">
            <w:pPr>
              <w:tabs>
                <w:tab w:val="left" w:pos="1853"/>
                <w:tab w:val="left" w:pos="2127"/>
              </w:tabs>
              <w:spacing w:line="360" w:lineRule="auto"/>
              <w:rPr>
                <w:rFonts w:ascii="Arial" w:hAnsi="Arial" w:cs="Arial"/>
                <w:lang w:val="id-ID"/>
              </w:rPr>
            </w:pPr>
          </w:p>
        </w:tc>
        <w:tc>
          <w:tcPr>
            <w:tcW w:w="7027" w:type="dxa"/>
          </w:tcPr>
          <w:p w:rsidR="00257EF7" w:rsidRPr="0096314A" w:rsidRDefault="00842F58" w:rsidP="00E3236E">
            <w:pPr>
              <w:spacing w:line="360" w:lineRule="auto"/>
              <w:jc w:val="both"/>
              <w:rPr>
                <w:rFonts w:ascii="Arial" w:hAnsi="Arial" w:cs="Arial"/>
                <w:lang w:val="id-ID"/>
              </w:rPr>
            </w:pPr>
            <w:r w:rsidRPr="0096314A">
              <w:rPr>
                <w:rFonts w:ascii="Arial" w:hAnsi="Arial" w:cs="Arial"/>
                <w:lang w:val="id-ID"/>
              </w:rPr>
              <w:t xml:space="preserve">Indikator Kinerja Individu sebagaimana dimaksud dalam Diktum </w:t>
            </w:r>
            <w:r w:rsidR="000A09F3">
              <w:rPr>
                <w:rFonts w:ascii="Arial" w:hAnsi="Arial" w:cs="Arial"/>
                <w:lang w:val="id-ID"/>
              </w:rPr>
              <w:t>KEDUA</w:t>
            </w:r>
            <w:r w:rsidRPr="0096314A">
              <w:rPr>
                <w:rFonts w:ascii="Arial" w:hAnsi="Arial" w:cs="Arial"/>
                <w:lang w:val="id-ID"/>
              </w:rPr>
              <w:t>, bertujuan untuk :</w:t>
            </w:r>
          </w:p>
          <w:p w:rsidR="00842F58" w:rsidRPr="0096314A" w:rsidRDefault="00842F58" w:rsidP="00BA687D">
            <w:pPr>
              <w:pStyle w:val="ListParagraph"/>
              <w:numPr>
                <w:ilvl w:val="0"/>
                <w:numId w:val="15"/>
              </w:numPr>
              <w:spacing w:line="360" w:lineRule="auto"/>
              <w:ind w:left="619" w:hanging="283"/>
              <w:jc w:val="both"/>
              <w:rPr>
                <w:rFonts w:ascii="Arial" w:hAnsi="Arial" w:cs="Arial"/>
                <w:sz w:val="24"/>
                <w:lang w:val="id-ID"/>
              </w:rPr>
            </w:pPr>
            <w:r w:rsidRPr="0096314A">
              <w:rPr>
                <w:rFonts w:ascii="Arial" w:hAnsi="Arial" w:cs="Arial"/>
                <w:sz w:val="24"/>
                <w:lang w:val="id-ID"/>
              </w:rPr>
              <w:t>Memberikan informasi kinerja yang penting dan diperlukan dalam menyelenggarak</w:t>
            </w:r>
            <w:r w:rsidR="00BA687D">
              <w:rPr>
                <w:rFonts w:ascii="Arial" w:hAnsi="Arial" w:cs="Arial"/>
                <w:sz w:val="24"/>
                <w:lang w:val="id-ID"/>
              </w:rPr>
              <w:t>an manajemen kinerja organisasi; dan</w:t>
            </w:r>
          </w:p>
          <w:p w:rsidR="00E3236E" w:rsidRPr="00BA687D" w:rsidRDefault="00842F58" w:rsidP="00BA687D">
            <w:pPr>
              <w:pStyle w:val="ListParagraph"/>
              <w:numPr>
                <w:ilvl w:val="0"/>
                <w:numId w:val="15"/>
              </w:numPr>
              <w:spacing w:after="240" w:line="360" w:lineRule="auto"/>
              <w:ind w:left="619" w:hanging="283"/>
              <w:jc w:val="both"/>
              <w:rPr>
                <w:rFonts w:ascii="Arial" w:hAnsi="Arial" w:cs="Arial"/>
                <w:sz w:val="24"/>
                <w:lang w:val="id-ID"/>
              </w:rPr>
            </w:pPr>
            <w:r w:rsidRPr="0096314A">
              <w:rPr>
                <w:rFonts w:ascii="Arial" w:hAnsi="Arial" w:cs="Arial"/>
                <w:sz w:val="24"/>
                <w:lang w:val="id-ID"/>
              </w:rPr>
              <w:t>Mengukur keberhasilan pencapaian suatu tujuan dan sasaran strategis yang digunakan untuk perbaikan kinerja dan peningkatan akuntabilitas kinerja organisasi.</w:t>
            </w:r>
          </w:p>
        </w:tc>
      </w:tr>
      <w:tr w:rsidR="00BA687D" w:rsidRPr="0096314A" w:rsidTr="00C8384E">
        <w:tc>
          <w:tcPr>
            <w:tcW w:w="1697" w:type="dxa"/>
          </w:tcPr>
          <w:p w:rsidR="00BA687D" w:rsidRPr="0096314A" w:rsidRDefault="00BA687D" w:rsidP="00E3236E">
            <w:pPr>
              <w:tabs>
                <w:tab w:val="left" w:pos="1853"/>
                <w:tab w:val="left" w:pos="2127"/>
              </w:tabs>
              <w:spacing w:line="360" w:lineRule="auto"/>
              <w:jc w:val="both"/>
              <w:rPr>
                <w:rFonts w:ascii="Arial" w:hAnsi="Arial" w:cs="Arial"/>
                <w:lang w:val="id-ID"/>
              </w:rPr>
            </w:pPr>
            <w:r>
              <w:rPr>
                <w:rFonts w:ascii="Arial" w:hAnsi="Arial" w:cs="Arial"/>
                <w:lang w:val="id-ID"/>
              </w:rPr>
              <w:t>KEEMPAT</w:t>
            </w:r>
          </w:p>
        </w:tc>
        <w:tc>
          <w:tcPr>
            <w:tcW w:w="411" w:type="dxa"/>
          </w:tcPr>
          <w:p w:rsidR="00BA687D" w:rsidRPr="0096314A" w:rsidRDefault="00BA687D" w:rsidP="00E3236E">
            <w:pPr>
              <w:tabs>
                <w:tab w:val="left" w:pos="1853"/>
                <w:tab w:val="left" w:pos="2127"/>
              </w:tabs>
              <w:spacing w:line="360" w:lineRule="auto"/>
              <w:jc w:val="center"/>
              <w:rPr>
                <w:rFonts w:ascii="Arial" w:hAnsi="Arial" w:cs="Arial"/>
                <w:lang w:val="id-ID"/>
              </w:rPr>
            </w:pPr>
            <w:r>
              <w:rPr>
                <w:rFonts w:ascii="Arial" w:hAnsi="Arial" w:cs="Arial"/>
                <w:lang w:val="id-ID"/>
              </w:rPr>
              <w:t>:</w:t>
            </w:r>
          </w:p>
        </w:tc>
        <w:tc>
          <w:tcPr>
            <w:tcW w:w="7027" w:type="dxa"/>
          </w:tcPr>
          <w:p w:rsidR="00BA687D" w:rsidRPr="00BA687D" w:rsidRDefault="00BA687D" w:rsidP="00BA687D">
            <w:pPr>
              <w:spacing w:line="360" w:lineRule="auto"/>
              <w:jc w:val="both"/>
              <w:rPr>
                <w:rFonts w:ascii="Arial" w:hAnsi="Arial" w:cs="Arial"/>
                <w:lang w:val="id-ID"/>
              </w:rPr>
            </w:pPr>
            <w:r w:rsidRPr="00BA687D">
              <w:rPr>
                <w:rFonts w:ascii="Arial" w:hAnsi="Arial" w:cs="Arial"/>
                <w:lang w:val="id-ID"/>
              </w:rPr>
              <w:t>Indikator Kinerja Utama dan Indikator Kinerja Individu Dinas Pendidikan Kabupaten Gresik dimanfaatkan  untuk :</w:t>
            </w:r>
          </w:p>
          <w:p w:rsidR="00BA687D" w:rsidRPr="00BA687D" w:rsidRDefault="00BA687D" w:rsidP="00BA687D">
            <w:pPr>
              <w:pStyle w:val="ListParagraph"/>
              <w:numPr>
                <w:ilvl w:val="0"/>
                <w:numId w:val="20"/>
              </w:numPr>
              <w:spacing w:line="360" w:lineRule="auto"/>
              <w:ind w:left="619" w:hanging="283"/>
              <w:jc w:val="both"/>
              <w:rPr>
                <w:rFonts w:ascii="Arial" w:hAnsi="Arial" w:cs="Arial"/>
                <w:sz w:val="24"/>
                <w:szCs w:val="24"/>
                <w:lang w:val="id-ID"/>
              </w:rPr>
            </w:pPr>
            <w:r w:rsidRPr="00BA687D">
              <w:rPr>
                <w:rFonts w:ascii="Arial" w:hAnsi="Arial" w:cs="Arial"/>
                <w:sz w:val="24"/>
                <w:szCs w:val="24"/>
                <w:lang w:val="id-ID"/>
              </w:rPr>
              <w:t>Perencanaan Strategis</w:t>
            </w:r>
            <w:r w:rsidR="000A09F3">
              <w:rPr>
                <w:rFonts w:ascii="Arial" w:hAnsi="Arial" w:cs="Arial"/>
                <w:sz w:val="24"/>
                <w:szCs w:val="24"/>
                <w:lang w:val="id-ID"/>
              </w:rPr>
              <w:t xml:space="preserve"> Dinas Pendidikan Kabupaten Gresik</w:t>
            </w:r>
            <w:r w:rsidRPr="00BA687D">
              <w:rPr>
                <w:rFonts w:ascii="Arial" w:hAnsi="Arial" w:cs="Arial"/>
                <w:sz w:val="24"/>
                <w:szCs w:val="24"/>
                <w:lang w:val="id-ID"/>
              </w:rPr>
              <w:t>;</w:t>
            </w:r>
          </w:p>
          <w:p w:rsidR="00BA687D" w:rsidRPr="000A09F3" w:rsidRDefault="00BA687D" w:rsidP="000A09F3">
            <w:pPr>
              <w:pStyle w:val="ListParagraph"/>
              <w:numPr>
                <w:ilvl w:val="0"/>
                <w:numId w:val="20"/>
              </w:numPr>
              <w:spacing w:line="360" w:lineRule="auto"/>
              <w:ind w:left="619" w:hanging="283"/>
              <w:jc w:val="both"/>
              <w:rPr>
                <w:rFonts w:ascii="Arial" w:hAnsi="Arial" w:cs="Arial"/>
                <w:sz w:val="24"/>
                <w:szCs w:val="24"/>
                <w:lang w:val="id-ID"/>
              </w:rPr>
            </w:pPr>
            <w:r w:rsidRPr="00BA687D">
              <w:rPr>
                <w:rFonts w:ascii="Arial" w:hAnsi="Arial" w:cs="Arial"/>
                <w:sz w:val="24"/>
                <w:szCs w:val="24"/>
                <w:lang w:val="id-ID"/>
              </w:rPr>
              <w:t>Perencanaan Tahunan</w:t>
            </w:r>
            <w:r w:rsidR="000A09F3">
              <w:rPr>
                <w:rFonts w:ascii="Arial" w:hAnsi="Arial" w:cs="Arial"/>
                <w:sz w:val="24"/>
                <w:szCs w:val="24"/>
                <w:lang w:val="id-ID"/>
              </w:rPr>
              <w:t xml:space="preserve"> Dinas Pendidikan Kabupaten Gresik</w:t>
            </w:r>
            <w:r w:rsidRPr="000A09F3">
              <w:rPr>
                <w:rFonts w:ascii="Arial" w:hAnsi="Arial" w:cs="Arial"/>
                <w:sz w:val="24"/>
                <w:szCs w:val="24"/>
                <w:lang w:val="id-ID"/>
              </w:rPr>
              <w:t>;</w:t>
            </w:r>
          </w:p>
          <w:p w:rsidR="00BA687D" w:rsidRPr="00BA687D" w:rsidRDefault="00BA687D" w:rsidP="00BA687D">
            <w:pPr>
              <w:pStyle w:val="ListParagraph"/>
              <w:numPr>
                <w:ilvl w:val="0"/>
                <w:numId w:val="20"/>
              </w:numPr>
              <w:spacing w:line="360" w:lineRule="auto"/>
              <w:ind w:left="619" w:hanging="283"/>
              <w:jc w:val="both"/>
              <w:rPr>
                <w:rFonts w:ascii="Arial" w:hAnsi="Arial" w:cs="Arial"/>
                <w:sz w:val="24"/>
                <w:szCs w:val="24"/>
                <w:lang w:val="id-ID"/>
              </w:rPr>
            </w:pPr>
            <w:r w:rsidRPr="00BA687D">
              <w:rPr>
                <w:rFonts w:ascii="Arial" w:hAnsi="Arial" w:cs="Arial"/>
                <w:sz w:val="24"/>
                <w:szCs w:val="24"/>
                <w:lang w:val="id-ID"/>
              </w:rPr>
              <w:t>Penetapan Kinerja</w:t>
            </w:r>
            <w:r w:rsidR="000A09F3">
              <w:rPr>
                <w:rFonts w:ascii="Arial" w:hAnsi="Arial" w:cs="Arial"/>
                <w:sz w:val="24"/>
                <w:szCs w:val="24"/>
                <w:lang w:val="id-ID"/>
              </w:rPr>
              <w:t xml:space="preserve"> Dinas Pendidikan Kabupaten Gresik</w:t>
            </w:r>
            <w:r w:rsidRPr="00BA687D">
              <w:rPr>
                <w:rFonts w:ascii="Arial" w:hAnsi="Arial" w:cs="Arial"/>
                <w:sz w:val="24"/>
                <w:szCs w:val="24"/>
                <w:lang w:val="id-ID"/>
              </w:rPr>
              <w:t>;</w:t>
            </w:r>
          </w:p>
          <w:p w:rsidR="00BA687D" w:rsidRPr="00BA687D" w:rsidRDefault="00BA687D" w:rsidP="00BA687D">
            <w:pPr>
              <w:pStyle w:val="ListParagraph"/>
              <w:numPr>
                <w:ilvl w:val="0"/>
                <w:numId w:val="20"/>
              </w:numPr>
              <w:spacing w:line="360" w:lineRule="auto"/>
              <w:ind w:left="619" w:hanging="283"/>
              <w:jc w:val="both"/>
              <w:rPr>
                <w:rFonts w:ascii="Arial" w:hAnsi="Arial" w:cs="Arial"/>
                <w:sz w:val="24"/>
                <w:szCs w:val="24"/>
                <w:lang w:val="id-ID"/>
              </w:rPr>
            </w:pPr>
            <w:r w:rsidRPr="00BA687D">
              <w:rPr>
                <w:rFonts w:ascii="Arial" w:hAnsi="Arial" w:cs="Arial"/>
                <w:sz w:val="24"/>
                <w:szCs w:val="24"/>
                <w:lang w:val="id-ID"/>
              </w:rPr>
              <w:t>Pelaporan Akuntabilitas Kinerja Instansi Pemerintah</w:t>
            </w:r>
            <w:r w:rsidR="000A09F3">
              <w:rPr>
                <w:rFonts w:ascii="Arial" w:hAnsi="Arial" w:cs="Arial"/>
                <w:sz w:val="24"/>
                <w:szCs w:val="24"/>
                <w:lang w:val="id-ID"/>
              </w:rPr>
              <w:t xml:space="preserve"> Dinas Pendidikan Kabupaten Gresik</w:t>
            </w:r>
            <w:r w:rsidRPr="00BA687D">
              <w:rPr>
                <w:rFonts w:ascii="Arial" w:hAnsi="Arial" w:cs="Arial"/>
                <w:sz w:val="24"/>
                <w:szCs w:val="24"/>
                <w:lang w:val="id-ID"/>
              </w:rPr>
              <w:t>;</w:t>
            </w:r>
          </w:p>
          <w:p w:rsidR="00BA687D" w:rsidRPr="00BA687D" w:rsidRDefault="00BA687D" w:rsidP="000A09F3">
            <w:pPr>
              <w:pStyle w:val="ListParagraph"/>
              <w:numPr>
                <w:ilvl w:val="0"/>
                <w:numId w:val="20"/>
              </w:numPr>
              <w:spacing w:after="240" w:line="360" w:lineRule="auto"/>
              <w:ind w:left="619" w:hanging="283"/>
              <w:jc w:val="both"/>
              <w:rPr>
                <w:rFonts w:ascii="Arial" w:hAnsi="Arial" w:cs="Arial"/>
                <w:sz w:val="24"/>
                <w:szCs w:val="24"/>
                <w:lang w:val="id-ID"/>
              </w:rPr>
            </w:pPr>
            <w:r w:rsidRPr="00BA687D">
              <w:rPr>
                <w:rFonts w:ascii="Arial" w:hAnsi="Arial" w:cs="Arial"/>
                <w:sz w:val="24"/>
                <w:szCs w:val="24"/>
                <w:lang w:val="id-ID"/>
              </w:rPr>
              <w:lastRenderedPageBreak/>
              <w:t>Evalu</w:t>
            </w:r>
            <w:r w:rsidR="00D2560C">
              <w:rPr>
                <w:rFonts w:ascii="Arial" w:hAnsi="Arial" w:cs="Arial"/>
                <w:sz w:val="24"/>
                <w:szCs w:val="24"/>
                <w:lang w:val="id-ID"/>
              </w:rPr>
              <w:t>asi Kinerja Instansi Pemerintah Dinas Pendidikan Kabupaten Gresik;</w:t>
            </w:r>
          </w:p>
          <w:p w:rsidR="00BA687D" w:rsidRPr="00BA687D" w:rsidRDefault="00BA687D" w:rsidP="00BA687D">
            <w:pPr>
              <w:pStyle w:val="ListParagraph"/>
              <w:numPr>
                <w:ilvl w:val="0"/>
                <w:numId w:val="20"/>
              </w:numPr>
              <w:spacing w:after="240" w:line="360" w:lineRule="auto"/>
              <w:ind w:left="619" w:hanging="283"/>
              <w:jc w:val="both"/>
              <w:rPr>
                <w:rFonts w:ascii="Arial" w:hAnsi="Arial" w:cs="Arial"/>
                <w:sz w:val="24"/>
                <w:szCs w:val="24"/>
                <w:lang w:val="it-IT"/>
              </w:rPr>
            </w:pPr>
            <w:r w:rsidRPr="00BA687D">
              <w:rPr>
                <w:rFonts w:ascii="Arial" w:hAnsi="Arial" w:cs="Arial"/>
                <w:sz w:val="24"/>
                <w:szCs w:val="24"/>
                <w:lang w:val="id-ID"/>
              </w:rPr>
              <w:t>Pemantauan dan Pengendalian Kinerja Pelaksanaan Program dan Kegiatan</w:t>
            </w:r>
            <w:r w:rsidR="00D2560C">
              <w:rPr>
                <w:rFonts w:ascii="Arial" w:hAnsi="Arial" w:cs="Arial"/>
                <w:sz w:val="24"/>
                <w:szCs w:val="24"/>
                <w:lang w:val="id-ID"/>
              </w:rPr>
              <w:t xml:space="preserve"> Dinas Pendidikan Kabupaten Gresik</w:t>
            </w:r>
            <w:r w:rsidRPr="00BA687D">
              <w:rPr>
                <w:rFonts w:ascii="Arial" w:hAnsi="Arial" w:cs="Arial"/>
                <w:sz w:val="24"/>
                <w:szCs w:val="24"/>
                <w:lang w:val="id-ID"/>
              </w:rPr>
              <w:t>.</w:t>
            </w:r>
          </w:p>
        </w:tc>
      </w:tr>
      <w:tr w:rsidR="00E3236E" w:rsidRPr="0096314A" w:rsidTr="00C8384E">
        <w:tc>
          <w:tcPr>
            <w:tcW w:w="1697" w:type="dxa"/>
          </w:tcPr>
          <w:p w:rsidR="000F4D0D" w:rsidRPr="0096314A" w:rsidRDefault="00BA687D" w:rsidP="00E3236E">
            <w:pPr>
              <w:tabs>
                <w:tab w:val="left" w:pos="1853"/>
                <w:tab w:val="left" w:pos="2127"/>
              </w:tabs>
              <w:spacing w:line="360" w:lineRule="auto"/>
              <w:jc w:val="both"/>
              <w:rPr>
                <w:rFonts w:ascii="Arial" w:hAnsi="Arial" w:cs="Arial"/>
                <w:lang w:val="id-ID"/>
              </w:rPr>
            </w:pPr>
            <w:r>
              <w:rPr>
                <w:rFonts w:ascii="Arial" w:hAnsi="Arial" w:cs="Arial"/>
                <w:lang w:val="id-ID"/>
              </w:rPr>
              <w:lastRenderedPageBreak/>
              <w:t>KELIMA</w:t>
            </w:r>
          </w:p>
        </w:tc>
        <w:tc>
          <w:tcPr>
            <w:tcW w:w="411" w:type="dxa"/>
          </w:tcPr>
          <w:p w:rsidR="000F4D0D" w:rsidRPr="0096314A" w:rsidRDefault="000F4D0D" w:rsidP="00E3236E">
            <w:pPr>
              <w:tabs>
                <w:tab w:val="left" w:pos="1853"/>
                <w:tab w:val="left" w:pos="2127"/>
              </w:tabs>
              <w:spacing w:line="360" w:lineRule="auto"/>
              <w:jc w:val="center"/>
              <w:rPr>
                <w:rFonts w:ascii="Arial" w:hAnsi="Arial" w:cs="Arial"/>
                <w:lang w:val="id-ID"/>
              </w:rPr>
            </w:pPr>
            <w:r w:rsidRPr="0096314A">
              <w:rPr>
                <w:rFonts w:ascii="Arial" w:hAnsi="Arial" w:cs="Arial"/>
                <w:lang w:val="id-ID"/>
              </w:rPr>
              <w:t>:</w:t>
            </w:r>
          </w:p>
        </w:tc>
        <w:tc>
          <w:tcPr>
            <w:tcW w:w="7027" w:type="dxa"/>
          </w:tcPr>
          <w:p w:rsidR="000F4D0D" w:rsidRPr="00BA687D" w:rsidRDefault="00BA687D" w:rsidP="003317FE">
            <w:pPr>
              <w:spacing w:after="240" w:line="360" w:lineRule="auto"/>
              <w:jc w:val="both"/>
              <w:rPr>
                <w:rFonts w:ascii="Arial" w:hAnsi="Arial" w:cs="Arial"/>
                <w:lang w:val="id-ID"/>
              </w:rPr>
            </w:pPr>
            <w:r>
              <w:rPr>
                <w:rFonts w:ascii="Arial" w:hAnsi="Arial" w:cs="Arial"/>
                <w:lang w:val="id-ID"/>
              </w:rPr>
              <w:t>Dengan ditetapkannya Keputusan ini, maka Keputusan Kepala Dinas Pendidikan Kabupaten Gresik Nomor : 050/</w:t>
            </w:r>
            <w:r w:rsidR="003317FE">
              <w:rPr>
                <w:rFonts w:ascii="Arial" w:hAnsi="Arial" w:cs="Arial"/>
                <w:lang w:val="id-ID"/>
              </w:rPr>
              <w:t>0007</w:t>
            </w:r>
            <w:r>
              <w:rPr>
                <w:rFonts w:ascii="Arial" w:hAnsi="Arial" w:cs="Arial"/>
                <w:lang w:val="id-ID"/>
              </w:rPr>
              <w:t>/437.53/</w:t>
            </w:r>
            <w:r w:rsidR="003317FE">
              <w:rPr>
                <w:rFonts w:ascii="Arial" w:hAnsi="Arial" w:cs="Arial"/>
                <w:lang w:val="id-ID"/>
              </w:rPr>
              <w:t>2025</w:t>
            </w:r>
            <w:r>
              <w:rPr>
                <w:rFonts w:ascii="Arial" w:hAnsi="Arial" w:cs="Arial"/>
                <w:lang w:val="id-ID"/>
              </w:rPr>
              <w:t xml:space="preserve"> tentang Indikator Kinerja Utama dan Indikator Kinerja Individu Dinas Pendidikan Kabupaten Gresik dinyatakan tidak berlaku lagi.</w:t>
            </w:r>
          </w:p>
        </w:tc>
      </w:tr>
      <w:tr w:rsidR="00BA687D" w:rsidRPr="0096314A" w:rsidTr="00C8384E">
        <w:tc>
          <w:tcPr>
            <w:tcW w:w="1697" w:type="dxa"/>
          </w:tcPr>
          <w:p w:rsidR="00BA687D" w:rsidRDefault="00BA687D" w:rsidP="00E3236E">
            <w:pPr>
              <w:tabs>
                <w:tab w:val="left" w:pos="1853"/>
                <w:tab w:val="left" w:pos="2127"/>
              </w:tabs>
              <w:spacing w:line="360" w:lineRule="auto"/>
              <w:jc w:val="both"/>
              <w:rPr>
                <w:rFonts w:ascii="Arial" w:hAnsi="Arial" w:cs="Arial"/>
                <w:lang w:val="id-ID"/>
              </w:rPr>
            </w:pPr>
            <w:r>
              <w:rPr>
                <w:rFonts w:ascii="Arial" w:hAnsi="Arial" w:cs="Arial"/>
                <w:lang w:val="id-ID"/>
              </w:rPr>
              <w:t>KEENAM</w:t>
            </w:r>
          </w:p>
        </w:tc>
        <w:tc>
          <w:tcPr>
            <w:tcW w:w="411" w:type="dxa"/>
          </w:tcPr>
          <w:p w:rsidR="00BA687D" w:rsidRPr="0096314A" w:rsidRDefault="00BA687D" w:rsidP="00E3236E">
            <w:pPr>
              <w:tabs>
                <w:tab w:val="left" w:pos="1853"/>
                <w:tab w:val="left" w:pos="2127"/>
              </w:tabs>
              <w:spacing w:line="360" w:lineRule="auto"/>
              <w:jc w:val="center"/>
              <w:rPr>
                <w:rFonts w:ascii="Arial" w:hAnsi="Arial" w:cs="Arial"/>
                <w:lang w:val="id-ID"/>
              </w:rPr>
            </w:pPr>
            <w:r>
              <w:rPr>
                <w:rFonts w:ascii="Arial" w:hAnsi="Arial" w:cs="Arial"/>
                <w:lang w:val="id-ID"/>
              </w:rPr>
              <w:t>:</w:t>
            </w:r>
          </w:p>
        </w:tc>
        <w:tc>
          <w:tcPr>
            <w:tcW w:w="7027" w:type="dxa"/>
          </w:tcPr>
          <w:p w:rsidR="00BA687D" w:rsidRDefault="00BA687D" w:rsidP="00E3236E">
            <w:pPr>
              <w:spacing w:line="360" w:lineRule="auto"/>
              <w:jc w:val="both"/>
              <w:rPr>
                <w:rFonts w:ascii="Arial" w:hAnsi="Arial" w:cs="Arial"/>
                <w:lang w:val="id-ID"/>
              </w:rPr>
            </w:pPr>
            <w:r>
              <w:rPr>
                <w:rFonts w:ascii="Arial" w:hAnsi="Arial" w:cs="Arial"/>
                <w:lang w:val="id-ID"/>
              </w:rPr>
              <w:t>Keputusan ini mulai berlaku sejak tanggal ditetapkan.</w:t>
            </w:r>
          </w:p>
        </w:tc>
      </w:tr>
    </w:tbl>
    <w:p w:rsidR="00813AA0" w:rsidRPr="0096314A" w:rsidRDefault="00813AA0" w:rsidP="00813AA0">
      <w:pPr>
        <w:tabs>
          <w:tab w:val="left" w:pos="1560"/>
          <w:tab w:val="left" w:pos="2040"/>
        </w:tabs>
        <w:spacing w:line="360" w:lineRule="auto"/>
        <w:rPr>
          <w:rFonts w:ascii="Arial" w:hAnsi="Arial" w:cs="Arial"/>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2"/>
      </w:tblGrid>
      <w:tr w:rsidR="00E3236E" w:rsidRPr="0096314A" w:rsidTr="000A09F3">
        <w:tc>
          <w:tcPr>
            <w:tcW w:w="4621" w:type="dxa"/>
          </w:tcPr>
          <w:p w:rsidR="00813AA0" w:rsidRPr="0096314A" w:rsidRDefault="00813AA0" w:rsidP="00257EF7">
            <w:pPr>
              <w:tabs>
                <w:tab w:val="left" w:pos="1560"/>
                <w:tab w:val="left" w:pos="2040"/>
                <w:tab w:val="left" w:pos="5103"/>
              </w:tabs>
              <w:spacing w:line="360" w:lineRule="auto"/>
              <w:rPr>
                <w:rFonts w:ascii="Arial" w:hAnsi="Arial" w:cs="Arial"/>
              </w:rPr>
            </w:pPr>
          </w:p>
        </w:tc>
        <w:tc>
          <w:tcPr>
            <w:tcW w:w="4622" w:type="dxa"/>
          </w:tcPr>
          <w:p w:rsidR="00813AA0" w:rsidRPr="0096314A" w:rsidRDefault="000F4D0D" w:rsidP="00813AA0">
            <w:pPr>
              <w:tabs>
                <w:tab w:val="left" w:pos="1560"/>
                <w:tab w:val="left" w:pos="2040"/>
                <w:tab w:val="left" w:pos="5103"/>
              </w:tabs>
              <w:spacing w:line="360" w:lineRule="auto"/>
              <w:rPr>
                <w:rFonts w:ascii="Arial" w:hAnsi="Arial" w:cs="Arial"/>
              </w:rPr>
            </w:pPr>
            <w:r w:rsidRPr="0096314A">
              <w:rPr>
                <w:rFonts w:ascii="Arial" w:hAnsi="Arial" w:cs="Arial"/>
              </w:rPr>
              <w:t>Ditetapkan di</w:t>
            </w:r>
            <w:r w:rsidRPr="0096314A">
              <w:rPr>
                <w:rFonts w:ascii="Arial" w:hAnsi="Arial" w:cs="Arial"/>
                <w:lang w:val="id-ID"/>
              </w:rPr>
              <w:t xml:space="preserve"> </w:t>
            </w:r>
            <w:r w:rsidR="00813AA0" w:rsidRPr="0096314A">
              <w:rPr>
                <w:rFonts w:ascii="Arial" w:hAnsi="Arial" w:cs="Arial"/>
              </w:rPr>
              <w:t>Gresik</w:t>
            </w:r>
          </w:p>
          <w:p w:rsidR="00813AA0" w:rsidRPr="0096314A" w:rsidRDefault="00813AA0" w:rsidP="00BA687D">
            <w:pPr>
              <w:spacing w:after="240" w:line="360" w:lineRule="auto"/>
              <w:rPr>
                <w:rFonts w:ascii="Arial" w:hAnsi="Arial" w:cs="Arial"/>
                <w:lang w:val="id-ID"/>
              </w:rPr>
            </w:pPr>
            <w:r w:rsidRPr="0096314A">
              <w:rPr>
                <w:rFonts w:ascii="Arial" w:hAnsi="Arial" w:cs="Arial"/>
              </w:rPr>
              <w:t xml:space="preserve">Pada Tanggal :    </w:t>
            </w:r>
            <w:r w:rsidR="000D1991" w:rsidRPr="0096314A">
              <w:rPr>
                <w:rFonts w:ascii="Arial" w:hAnsi="Arial" w:cs="Arial"/>
                <w:lang w:val="id-ID"/>
              </w:rPr>
              <w:t xml:space="preserve"> </w:t>
            </w:r>
            <w:r w:rsidRPr="0096314A">
              <w:rPr>
                <w:rFonts w:ascii="Arial" w:hAnsi="Arial" w:cs="Arial"/>
              </w:rPr>
              <w:t xml:space="preserve">  </w:t>
            </w:r>
            <w:r w:rsidR="00C8384E">
              <w:rPr>
                <w:rFonts w:ascii="Arial" w:hAnsi="Arial" w:cs="Arial"/>
                <w:lang w:val="id-ID"/>
              </w:rPr>
              <w:t>Januari 2025</w:t>
            </w:r>
          </w:p>
          <w:p w:rsidR="00813AA0" w:rsidRPr="0096314A" w:rsidRDefault="00813AA0" w:rsidP="00813AA0">
            <w:pPr>
              <w:tabs>
                <w:tab w:val="left" w:pos="1560"/>
                <w:tab w:val="left" w:pos="2040"/>
                <w:tab w:val="left" w:pos="5103"/>
              </w:tabs>
              <w:spacing w:line="360" w:lineRule="auto"/>
              <w:jc w:val="center"/>
              <w:rPr>
                <w:rFonts w:ascii="Arial" w:hAnsi="Arial" w:cs="Arial"/>
              </w:rPr>
            </w:pPr>
            <w:r w:rsidRPr="0096314A">
              <w:rPr>
                <w:rFonts w:ascii="Arial" w:hAnsi="Arial" w:cs="Arial"/>
              </w:rPr>
              <w:t>Kepala Dinas Pendidikan</w:t>
            </w:r>
          </w:p>
          <w:p w:rsidR="00813AA0" w:rsidRPr="0096314A" w:rsidRDefault="00813AA0" w:rsidP="00813AA0">
            <w:pPr>
              <w:tabs>
                <w:tab w:val="left" w:pos="1560"/>
                <w:tab w:val="left" w:pos="2040"/>
                <w:tab w:val="left" w:pos="5103"/>
              </w:tabs>
              <w:spacing w:line="360" w:lineRule="auto"/>
              <w:jc w:val="center"/>
              <w:rPr>
                <w:rFonts w:ascii="Arial" w:hAnsi="Arial" w:cs="Arial"/>
              </w:rPr>
            </w:pPr>
            <w:r w:rsidRPr="0096314A">
              <w:rPr>
                <w:rFonts w:ascii="Arial" w:hAnsi="Arial" w:cs="Arial"/>
              </w:rPr>
              <w:t>Kabupaten Gresik</w:t>
            </w:r>
          </w:p>
          <w:p w:rsidR="00813AA0" w:rsidRPr="0096314A" w:rsidRDefault="00813AA0" w:rsidP="00813AA0">
            <w:pPr>
              <w:tabs>
                <w:tab w:val="left" w:pos="1560"/>
                <w:tab w:val="left" w:pos="2040"/>
                <w:tab w:val="left" w:pos="5103"/>
              </w:tabs>
              <w:spacing w:line="360" w:lineRule="auto"/>
              <w:rPr>
                <w:rFonts w:ascii="Arial" w:hAnsi="Arial" w:cs="Arial"/>
                <w:lang w:val="id-ID"/>
              </w:rPr>
            </w:pPr>
          </w:p>
          <w:p w:rsidR="00813AA0" w:rsidRPr="0096314A" w:rsidRDefault="00813AA0" w:rsidP="00813AA0">
            <w:pPr>
              <w:tabs>
                <w:tab w:val="left" w:pos="1560"/>
                <w:tab w:val="left" w:pos="2040"/>
                <w:tab w:val="left" w:pos="5103"/>
              </w:tabs>
              <w:spacing w:line="360" w:lineRule="auto"/>
              <w:rPr>
                <w:rFonts w:ascii="Arial" w:hAnsi="Arial" w:cs="Arial"/>
              </w:rPr>
            </w:pPr>
          </w:p>
          <w:p w:rsidR="00813AA0" w:rsidRPr="0096314A" w:rsidRDefault="00813AA0" w:rsidP="00813AA0">
            <w:pPr>
              <w:tabs>
                <w:tab w:val="left" w:pos="1560"/>
                <w:tab w:val="left" w:pos="2040"/>
                <w:tab w:val="left" w:pos="5103"/>
              </w:tabs>
              <w:spacing w:line="360" w:lineRule="auto"/>
              <w:rPr>
                <w:rFonts w:ascii="Arial" w:hAnsi="Arial" w:cs="Arial"/>
              </w:rPr>
            </w:pPr>
          </w:p>
          <w:p w:rsidR="00813AA0" w:rsidRPr="00D2560C" w:rsidRDefault="003600D1" w:rsidP="00813AA0">
            <w:pPr>
              <w:tabs>
                <w:tab w:val="left" w:pos="1560"/>
                <w:tab w:val="left" w:pos="2040"/>
                <w:tab w:val="left" w:pos="5103"/>
              </w:tabs>
              <w:spacing w:line="276" w:lineRule="auto"/>
              <w:jc w:val="center"/>
              <w:rPr>
                <w:rFonts w:ascii="Arial" w:hAnsi="Arial" w:cs="Arial"/>
                <w:b/>
                <w:u w:val="single"/>
                <w:lang w:val="id-ID"/>
              </w:rPr>
            </w:pPr>
            <w:r>
              <w:rPr>
                <w:rFonts w:ascii="Arial" w:hAnsi="Arial" w:cs="Arial"/>
                <w:b/>
                <w:u w:val="single"/>
                <w:lang w:val="id-ID"/>
              </w:rPr>
              <w:t xml:space="preserve">Dr. </w:t>
            </w:r>
            <w:r w:rsidR="00813AA0" w:rsidRPr="0096314A">
              <w:rPr>
                <w:rFonts w:ascii="Arial" w:hAnsi="Arial" w:cs="Arial"/>
                <w:b/>
                <w:u w:val="single"/>
              </w:rPr>
              <w:t>S HARIYANTO, S.Pd</w:t>
            </w:r>
            <w:r w:rsidR="00D2560C">
              <w:rPr>
                <w:rFonts w:ascii="Arial" w:hAnsi="Arial" w:cs="Arial"/>
                <w:b/>
                <w:u w:val="single"/>
                <w:lang w:val="id-ID"/>
              </w:rPr>
              <w:t>.</w:t>
            </w:r>
            <w:r w:rsidR="00813AA0" w:rsidRPr="0096314A">
              <w:rPr>
                <w:rFonts w:ascii="Arial" w:hAnsi="Arial" w:cs="Arial"/>
                <w:b/>
                <w:u w:val="single"/>
              </w:rPr>
              <w:t>, M</w:t>
            </w:r>
            <w:r w:rsidR="00D2560C">
              <w:rPr>
                <w:rFonts w:ascii="Arial" w:hAnsi="Arial" w:cs="Arial"/>
                <w:b/>
                <w:u w:val="single"/>
                <w:lang w:val="id-ID"/>
              </w:rPr>
              <w:t>.</w:t>
            </w:r>
            <w:r w:rsidR="00813AA0" w:rsidRPr="0096314A">
              <w:rPr>
                <w:rFonts w:ascii="Arial" w:hAnsi="Arial" w:cs="Arial"/>
                <w:b/>
                <w:u w:val="single"/>
              </w:rPr>
              <w:t>M</w:t>
            </w:r>
            <w:r w:rsidR="00D2560C">
              <w:rPr>
                <w:rFonts w:ascii="Arial" w:hAnsi="Arial" w:cs="Arial"/>
                <w:b/>
                <w:u w:val="single"/>
                <w:lang w:val="id-ID"/>
              </w:rPr>
              <w:t>.</w:t>
            </w:r>
          </w:p>
          <w:p w:rsidR="00813AA0" w:rsidRPr="0096314A" w:rsidRDefault="00813AA0" w:rsidP="00813AA0">
            <w:pPr>
              <w:tabs>
                <w:tab w:val="left" w:pos="1560"/>
                <w:tab w:val="left" w:pos="2040"/>
                <w:tab w:val="left" w:pos="5103"/>
              </w:tabs>
              <w:spacing w:line="276" w:lineRule="auto"/>
              <w:jc w:val="center"/>
              <w:rPr>
                <w:rFonts w:ascii="Arial" w:hAnsi="Arial" w:cs="Arial"/>
              </w:rPr>
            </w:pPr>
            <w:r w:rsidRPr="0096314A">
              <w:rPr>
                <w:rFonts w:ascii="Arial" w:hAnsi="Arial" w:cs="Arial"/>
              </w:rPr>
              <w:t>Pembina Utama Muda</w:t>
            </w:r>
          </w:p>
          <w:p w:rsidR="00813AA0" w:rsidRPr="0096314A" w:rsidRDefault="00813AA0" w:rsidP="00813AA0">
            <w:pPr>
              <w:spacing w:line="276" w:lineRule="auto"/>
              <w:jc w:val="center"/>
              <w:rPr>
                <w:rFonts w:ascii="Arial" w:hAnsi="Arial" w:cs="Arial"/>
                <w:lang w:val="id-ID"/>
              </w:rPr>
            </w:pPr>
            <w:r w:rsidRPr="0096314A">
              <w:rPr>
                <w:rFonts w:ascii="Arial" w:hAnsi="Arial" w:cs="Arial"/>
              </w:rPr>
              <w:t>NIP. 19720422</w:t>
            </w:r>
            <w:r w:rsidR="00D2560C">
              <w:rPr>
                <w:rFonts w:ascii="Arial" w:hAnsi="Arial" w:cs="Arial"/>
                <w:lang w:val="id-ID"/>
              </w:rPr>
              <w:t xml:space="preserve"> </w:t>
            </w:r>
            <w:r w:rsidRPr="0096314A">
              <w:rPr>
                <w:rFonts w:ascii="Arial" w:hAnsi="Arial" w:cs="Arial"/>
              </w:rPr>
              <w:t>199802</w:t>
            </w:r>
            <w:r w:rsidR="00D2560C">
              <w:rPr>
                <w:rFonts w:ascii="Arial" w:hAnsi="Arial" w:cs="Arial"/>
                <w:lang w:val="id-ID"/>
              </w:rPr>
              <w:t xml:space="preserve"> </w:t>
            </w:r>
            <w:r w:rsidRPr="0096314A">
              <w:rPr>
                <w:rFonts w:ascii="Arial" w:hAnsi="Arial" w:cs="Arial"/>
              </w:rPr>
              <w:t>1</w:t>
            </w:r>
            <w:r w:rsidR="00D2560C">
              <w:rPr>
                <w:rFonts w:ascii="Arial" w:hAnsi="Arial" w:cs="Arial"/>
                <w:lang w:val="id-ID"/>
              </w:rPr>
              <w:t xml:space="preserve"> </w:t>
            </w:r>
            <w:r w:rsidRPr="0096314A">
              <w:rPr>
                <w:rFonts w:ascii="Arial" w:hAnsi="Arial" w:cs="Arial"/>
              </w:rPr>
              <w:t>0</w:t>
            </w:r>
            <w:r w:rsidRPr="0096314A">
              <w:rPr>
                <w:rFonts w:ascii="Arial" w:hAnsi="Arial" w:cs="Arial"/>
                <w:lang w:val="id-ID"/>
              </w:rPr>
              <w:t>01</w:t>
            </w:r>
          </w:p>
        </w:tc>
      </w:tr>
    </w:tbl>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005A3A">
      <w:pPr>
        <w:rPr>
          <w:lang w:val="id-ID"/>
        </w:rPr>
      </w:pPr>
    </w:p>
    <w:p w:rsidR="002A4581" w:rsidRDefault="002A4581" w:rsidP="002A4581">
      <w:pPr>
        <w:shd w:val="clear" w:color="auto" w:fill="FFFFFF"/>
        <w:tabs>
          <w:tab w:val="left" w:pos="3345"/>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lastRenderedPageBreak/>
        <w:t>DINAS PENDIDIKAN KABUPATEN GRESIK</w:t>
      </w:r>
    </w:p>
    <w:p w:rsidR="002A4581" w:rsidRDefault="002A4581" w:rsidP="002A4581">
      <w:pPr>
        <w:shd w:val="clear" w:color="auto" w:fill="FFFFFF"/>
        <w:tabs>
          <w:tab w:val="left" w:pos="3345"/>
        </w:tabs>
        <w:spacing w:line="360" w:lineRule="auto"/>
        <w:ind w:left="567"/>
        <w:jc w:val="both"/>
        <w:rPr>
          <w:rFonts w:ascii="Bookman Old Style" w:eastAsia="Bookman Old Style" w:hAnsi="Bookman Old Style" w:cs="Bookman Old Style"/>
          <w:lang w:val="id-ID"/>
        </w:rPr>
      </w:pPr>
    </w:p>
    <w:tbl>
      <w:tblPr>
        <w:tblStyle w:val="TableGrid"/>
        <w:tblW w:w="0" w:type="auto"/>
        <w:jc w:val="center"/>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
        <w:gridCol w:w="293"/>
        <w:gridCol w:w="7365"/>
      </w:tblGrid>
      <w:tr w:rsidR="002A4581" w:rsidTr="002A4581">
        <w:trPr>
          <w:jc w:val="center"/>
        </w:trPr>
        <w:tc>
          <w:tcPr>
            <w:tcW w:w="959" w:type="dxa"/>
          </w:tcPr>
          <w:p w:rsidR="002A4581" w:rsidRDefault="002A4581" w:rsidP="002A4581">
            <w:pPr>
              <w:tabs>
                <w:tab w:val="left" w:pos="3345"/>
              </w:tabs>
              <w:spacing w:line="360" w:lineRule="auto"/>
              <w:jc w:val="both"/>
              <w:rPr>
                <w:rFonts w:ascii="Bookman Old Style" w:eastAsia="Bookman Old Style" w:hAnsi="Bookman Old Style" w:cs="Bookman Old Style"/>
                <w:lang w:val="id-ID"/>
              </w:rPr>
            </w:pPr>
            <w:r>
              <w:rPr>
                <w:rFonts w:ascii="Bookman Old Style" w:eastAsia="Bookman Old Style" w:hAnsi="Bookman Old Style" w:cs="Bookman Old Style"/>
              </w:rPr>
              <w:t>Tugas</w:t>
            </w:r>
          </w:p>
        </w:tc>
        <w:tc>
          <w:tcPr>
            <w:tcW w:w="293" w:type="dxa"/>
          </w:tcPr>
          <w:p w:rsidR="002A4581" w:rsidRDefault="002A4581" w:rsidP="002A4581">
            <w:pPr>
              <w:tabs>
                <w:tab w:val="left" w:pos="3345"/>
              </w:tabs>
              <w:spacing w:line="360" w:lineRule="auto"/>
              <w:jc w:val="both"/>
              <w:rPr>
                <w:rFonts w:ascii="Bookman Old Style" w:eastAsia="Bookman Old Style" w:hAnsi="Bookman Old Style" w:cs="Bookman Old Style"/>
                <w:lang w:val="id-ID"/>
              </w:rPr>
            </w:pPr>
            <w:r>
              <w:rPr>
                <w:rFonts w:ascii="Bookman Old Style" w:eastAsia="Bookman Old Style" w:hAnsi="Bookman Old Style" w:cs="Bookman Old Style"/>
              </w:rPr>
              <w:t>:</w:t>
            </w:r>
          </w:p>
        </w:tc>
        <w:tc>
          <w:tcPr>
            <w:tcW w:w="7424" w:type="dxa"/>
          </w:tcPr>
          <w:p w:rsidR="002A4581" w:rsidRDefault="002A4581" w:rsidP="002A4581">
            <w:pPr>
              <w:tabs>
                <w:tab w:val="left" w:pos="3345"/>
              </w:tabs>
              <w:spacing w:after="240" w:line="360" w:lineRule="auto"/>
              <w:jc w:val="both"/>
              <w:rPr>
                <w:rFonts w:ascii="Bookman Old Style" w:eastAsia="Bookman Old Style" w:hAnsi="Bookman Old Style" w:cs="Bookman Old Style"/>
                <w:lang w:val="id-ID"/>
              </w:rPr>
            </w:pPr>
            <w:proofErr w:type="gramStart"/>
            <w:r>
              <w:rPr>
                <w:rFonts w:ascii="Bookman Old Style" w:eastAsia="Bookman Old Style" w:hAnsi="Bookman Old Style" w:cs="Bookman Old Style"/>
              </w:rPr>
              <w:t>memimpin</w:t>
            </w:r>
            <w:proofErr w:type="gramEnd"/>
            <w:r>
              <w:rPr>
                <w:rFonts w:ascii="Bookman Old Style" w:eastAsia="Bookman Old Style" w:hAnsi="Bookman Old Style" w:cs="Bookman Old Style"/>
              </w:rPr>
              <w:t>, merumuskan, mengatur, membina, mengendalikan, mengoordinasikan dan mempertanggungjawabkan kebijakan teknis urusan pemerintahan bidang pendidikan.</w:t>
            </w:r>
          </w:p>
        </w:tc>
      </w:tr>
      <w:tr w:rsidR="002A4581" w:rsidTr="002A4581">
        <w:trPr>
          <w:jc w:val="center"/>
        </w:trPr>
        <w:tc>
          <w:tcPr>
            <w:tcW w:w="959" w:type="dxa"/>
          </w:tcPr>
          <w:p w:rsidR="002A4581" w:rsidRDefault="002A4581" w:rsidP="002A4581">
            <w:pPr>
              <w:tabs>
                <w:tab w:val="left" w:pos="3345"/>
              </w:tabs>
              <w:spacing w:line="360" w:lineRule="auto"/>
              <w:jc w:val="both"/>
              <w:rPr>
                <w:rFonts w:ascii="Bookman Old Style" w:eastAsia="Bookman Old Style" w:hAnsi="Bookman Old Style" w:cs="Bookman Old Style"/>
              </w:rPr>
            </w:pPr>
            <w:r>
              <w:rPr>
                <w:rFonts w:ascii="Bookman Old Style" w:eastAsia="Bookman Old Style" w:hAnsi="Bookman Old Style" w:cs="Bookman Old Style"/>
              </w:rPr>
              <w:t>Fungsi</w:t>
            </w:r>
          </w:p>
        </w:tc>
        <w:tc>
          <w:tcPr>
            <w:tcW w:w="293" w:type="dxa"/>
          </w:tcPr>
          <w:p w:rsidR="002A4581" w:rsidRPr="002A4581" w:rsidRDefault="002A4581" w:rsidP="002A4581">
            <w:pPr>
              <w:tabs>
                <w:tab w:val="left" w:pos="3345"/>
              </w:tabs>
              <w:spacing w:line="360" w:lineRule="auto"/>
              <w:jc w:val="both"/>
              <w:rPr>
                <w:rFonts w:ascii="Bookman Old Style" w:eastAsia="Bookman Old Style" w:hAnsi="Bookman Old Style" w:cs="Bookman Old Style"/>
                <w:lang w:val="id-ID"/>
              </w:rPr>
            </w:pPr>
            <w:r>
              <w:rPr>
                <w:rFonts w:ascii="Bookman Old Style" w:eastAsia="Bookman Old Style" w:hAnsi="Bookman Old Style" w:cs="Bookman Old Style"/>
                <w:lang w:val="id-ID"/>
              </w:rPr>
              <w:t>:</w:t>
            </w:r>
          </w:p>
        </w:tc>
        <w:tc>
          <w:tcPr>
            <w:tcW w:w="7424" w:type="dxa"/>
          </w:tcPr>
          <w:p w:rsidR="002A4581" w:rsidRPr="002A4581" w:rsidRDefault="002A4581" w:rsidP="002A4581">
            <w:pPr>
              <w:pStyle w:val="ListParagraph"/>
              <w:numPr>
                <w:ilvl w:val="0"/>
                <w:numId w:val="24"/>
              </w:numPr>
              <w:shd w:val="clear" w:color="auto" w:fill="FFFFFF"/>
              <w:spacing w:line="360" w:lineRule="auto"/>
              <w:ind w:left="249" w:hanging="249"/>
              <w:jc w:val="both"/>
              <w:rPr>
                <w:rFonts w:ascii="Bookman Old Style" w:eastAsia="Bookman Old Style" w:hAnsi="Bookman Old Style" w:cs="Bookman Old Style"/>
                <w:sz w:val="24"/>
                <w:szCs w:val="24"/>
              </w:rPr>
            </w:pPr>
            <w:r w:rsidRPr="002A4581">
              <w:rPr>
                <w:rFonts w:ascii="Bookman Old Style" w:eastAsia="Bookman Old Style" w:hAnsi="Bookman Old Style" w:cs="Bookman Old Style"/>
                <w:sz w:val="24"/>
                <w:szCs w:val="24"/>
              </w:rPr>
              <w:t xml:space="preserve">pelaksanaan pengkoordinasian penyusunan kebijakan dan program urusan pemerintahan di bidang pendidikan;  </w:t>
            </w:r>
          </w:p>
          <w:p w:rsidR="002A4581" w:rsidRPr="002A4581" w:rsidRDefault="002A4581" w:rsidP="002A4581">
            <w:pPr>
              <w:numPr>
                <w:ilvl w:val="0"/>
                <w:numId w:val="24"/>
              </w:numPr>
              <w:shd w:val="clear" w:color="auto" w:fill="FFFFFF"/>
              <w:spacing w:line="360" w:lineRule="auto"/>
              <w:ind w:left="249" w:hanging="249"/>
              <w:jc w:val="both"/>
              <w:rPr>
                <w:rFonts w:ascii="Bookman Old Style" w:eastAsia="Bookman Old Style" w:hAnsi="Bookman Old Style" w:cs="Bookman Old Style"/>
              </w:rPr>
            </w:pPr>
            <w:r w:rsidRPr="002A4581">
              <w:rPr>
                <w:rFonts w:ascii="Bookman Old Style" w:eastAsia="Bookman Old Style" w:hAnsi="Bookman Old Style" w:cs="Bookman Old Style"/>
              </w:rPr>
              <w:t>pengkoordinasian pelaksanaan kebijakan urusan pemerintahan di bidang pendidikan;</w:t>
            </w:r>
          </w:p>
          <w:p w:rsidR="002A4581" w:rsidRPr="002A4581" w:rsidRDefault="002A4581" w:rsidP="002A4581">
            <w:pPr>
              <w:numPr>
                <w:ilvl w:val="0"/>
                <w:numId w:val="24"/>
              </w:numPr>
              <w:shd w:val="clear" w:color="auto" w:fill="FFFFFF"/>
              <w:spacing w:line="360" w:lineRule="auto"/>
              <w:ind w:left="249" w:hanging="249"/>
              <w:jc w:val="both"/>
              <w:rPr>
                <w:rFonts w:ascii="Bookman Old Style" w:eastAsia="Bookman Old Style" w:hAnsi="Bookman Old Style" w:cs="Bookman Old Style"/>
              </w:rPr>
            </w:pPr>
            <w:r w:rsidRPr="002A4581">
              <w:rPr>
                <w:rFonts w:ascii="Bookman Old Style" w:eastAsia="Bookman Old Style" w:hAnsi="Bookman Old Style" w:cs="Bookman Old Style"/>
              </w:rPr>
              <w:t>pengkoordinasian pelaksanaan pelayanan administrasi urusan pemerintahan di bidang pendidikan;</w:t>
            </w:r>
          </w:p>
          <w:p w:rsidR="002A4581" w:rsidRPr="002A4581" w:rsidRDefault="002A4581" w:rsidP="002A4581">
            <w:pPr>
              <w:numPr>
                <w:ilvl w:val="0"/>
                <w:numId w:val="24"/>
              </w:numPr>
              <w:shd w:val="clear" w:color="auto" w:fill="FFFFFF"/>
              <w:spacing w:line="360" w:lineRule="auto"/>
              <w:ind w:left="249" w:hanging="249"/>
              <w:jc w:val="both"/>
              <w:rPr>
                <w:rFonts w:ascii="Bookman Old Style" w:eastAsia="Bookman Old Style" w:hAnsi="Bookman Old Style" w:cs="Bookman Old Style"/>
              </w:rPr>
            </w:pPr>
            <w:r w:rsidRPr="002A4581">
              <w:rPr>
                <w:rFonts w:ascii="Bookman Old Style" w:eastAsia="Bookman Old Style" w:hAnsi="Bookman Old Style" w:cs="Bookman Old Style"/>
              </w:rPr>
              <w:t>pengkoordinasian pelaksanaan kebijakan urusan pemerintahan di bidang pendidikan;</w:t>
            </w:r>
          </w:p>
          <w:p w:rsidR="002A4581" w:rsidRPr="002A4581" w:rsidRDefault="002A4581" w:rsidP="002A4581">
            <w:pPr>
              <w:numPr>
                <w:ilvl w:val="0"/>
                <w:numId w:val="24"/>
              </w:numPr>
              <w:shd w:val="clear" w:color="auto" w:fill="FFFFFF"/>
              <w:spacing w:line="360" w:lineRule="auto"/>
              <w:ind w:left="249" w:hanging="249"/>
              <w:jc w:val="both"/>
              <w:rPr>
                <w:rFonts w:ascii="Bookman Old Style" w:eastAsia="Bookman Old Style" w:hAnsi="Bookman Old Style" w:cs="Bookman Old Style"/>
              </w:rPr>
            </w:pPr>
            <w:r w:rsidRPr="002A4581">
              <w:rPr>
                <w:rFonts w:ascii="Bookman Old Style" w:eastAsia="Bookman Old Style" w:hAnsi="Bookman Old Style" w:cs="Bookman Old Style"/>
              </w:rPr>
              <w:t>pengkoordinasian pelaksanaan pembinaan dan fasilitasi di bidang pendidikan;</w:t>
            </w:r>
          </w:p>
          <w:p w:rsidR="002A4581" w:rsidRPr="002A4581" w:rsidRDefault="002A4581" w:rsidP="002A4581">
            <w:pPr>
              <w:numPr>
                <w:ilvl w:val="0"/>
                <w:numId w:val="24"/>
              </w:numPr>
              <w:shd w:val="clear" w:color="auto" w:fill="FFFFFF"/>
              <w:spacing w:line="360" w:lineRule="auto"/>
              <w:ind w:left="249" w:hanging="249"/>
              <w:jc w:val="both"/>
              <w:rPr>
                <w:rFonts w:ascii="Bookman Old Style" w:eastAsia="Bookman Old Style" w:hAnsi="Bookman Old Style" w:cs="Bookman Old Style"/>
              </w:rPr>
            </w:pPr>
            <w:r w:rsidRPr="002A4581">
              <w:rPr>
                <w:rFonts w:ascii="Bookman Old Style" w:eastAsia="Bookman Old Style" w:hAnsi="Bookman Old Style" w:cs="Bookman Old Style"/>
              </w:rPr>
              <w:t>pengkoordinasian pelaksanaan evaluasi dan pelaporan pelaksanaan urusan pemerintahan di bidang pendidikan; dan</w:t>
            </w:r>
          </w:p>
          <w:p w:rsidR="002A4581" w:rsidRPr="002A4581" w:rsidRDefault="002A4581" w:rsidP="002A4581">
            <w:pPr>
              <w:numPr>
                <w:ilvl w:val="0"/>
                <w:numId w:val="24"/>
              </w:numPr>
              <w:shd w:val="clear" w:color="auto" w:fill="FFFFFF"/>
              <w:spacing w:line="360" w:lineRule="auto"/>
              <w:ind w:left="249" w:hanging="249"/>
              <w:jc w:val="both"/>
              <w:rPr>
                <w:rFonts w:ascii="Bookman Old Style" w:eastAsia="Bookman Old Style" w:hAnsi="Bookman Old Style" w:cs="Bookman Old Style"/>
              </w:rPr>
            </w:pPr>
            <w:proofErr w:type="gramStart"/>
            <w:r w:rsidRPr="002A4581">
              <w:rPr>
                <w:rFonts w:ascii="Bookman Old Style" w:eastAsia="Bookman Old Style" w:hAnsi="Bookman Old Style" w:cs="Bookman Old Style"/>
              </w:rPr>
              <w:t>pelaksanaan</w:t>
            </w:r>
            <w:proofErr w:type="gramEnd"/>
            <w:r w:rsidRPr="002A4581">
              <w:rPr>
                <w:rFonts w:ascii="Bookman Old Style" w:eastAsia="Bookman Old Style" w:hAnsi="Bookman Old Style" w:cs="Bookman Old Style"/>
              </w:rPr>
              <w:t xml:space="preserve"> tugas kedinasan lain yang diberikan oleh Bupati sesuai dengan bidang tugasnya.</w:t>
            </w:r>
          </w:p>
          <w:p w:rsidR="002A4581" w:rsidRPr="002A4581" w:rsidRDefault="002A4581" w:rsidP="002A4581">
            <w:pPr>
              <w:shd w:val="clear" w:color="auto" w:fill="FFFFFF"/>
              <w:spacing w:line="360" w:lineRule="auto"/>
              <w:ind w:left="249"/>
              <w:jc w:val="both"/>
              <w:rPr>
                <w:rFonts w:ascii="Bookman Old Style" w:eastAsia="Bookman Old Style" w:hAnsi="Bookman Old Style" w:cs="Bookman Old Style"/>
              </w:rPr>
            </w:pPr>
          </w:p>
        </w:tc>
      </w:tr>
    </w:tbl>
    <w:tbl>
      <w:tblPr>
        <w:tblW w:w="9509"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8169"/>
      </w:tblGrid>
      <w:tr w:rsidR="002A4581" w:rsidTr="002A4581">
        <w:trPr>
          <w:trHeight w:val="324"/>
          <w:jc w:val="center"/>
        </w:trPr>
        <w:tc>
          <w:tcPr>
            <w:tcW w:w="1340" w:type="dxa"/>
            <w:shd w:val="clear" w:color="auto" w:fill="auto"/>
            <w:vAlign w:val="center"/>
            <w:hideMark/>
          </w:tcPr>
          <w:p w:rsidR="002A4581" w:rsidRDefault="002A4581" w:rsidP="00035482">
            <w:pPr>
              <w:spacing w:line="360" w:lineRule="auto"/>
              <w:jc w:val="center"/>
              <w:rPr>
                <w:rFonts w:ascii="Bookman Old Style" w:hAnsi="Bookman Old Style" w:cs="Calibri"/>
                <w:color w:val="000000"/>
              </w:rPr>
            </w:pPr>
            <w:r>
              <w:rPr>
                <w:rFonts w:ascii="Bookman Old Style" w:hAnsi="Bookman Old Style" w:cs="Calibri"/>
                <w:color w:val="000000"/>
                <w:lang w:val="en-ID"/>
              </w:rPr>
              <w:t>Kode</w:t>
            </w:r>
          </w:p>
        </w:tc>
        <w:tc>
          <w:tcPr>
            <w:tcW w:w="8169" w:type="dxa"/>
            <w:shd w:val="clear" w:color="auto" w:fill="auto"/>
            <w:vAlign w:val="center"/>
            <w:hideMark/>
          </w:tcPr>
          <w:p w:rsidR="002A4581" w:rsidRDefault="002A4581" w:rsidP="00035482">
            <w:pPr>
              <w:spacing w:line="360" w:lineRule="auto"/>
              <w:jc w:val="center"/>
              <w:rPr>
                <w:rFonts w:ascii="Bookman Old Style" w:hAnsi="Bookman Old Style" w:cs="Calibri"/>
                <w:color w:val="000000"/>
              </w:rPr>
            </w:pPr>
            <w:r>
              <w:rPr>
                <w:rFonts w:ascii="Bookman Old Style" w:hAnsi="Bookman Old Style" w:cs="Calibri"/>
                <w:color w:val="000000"/>
                <w:lang w:val="en-ID"/>
              </w:rPr>
              <w:t>Indikator Kinerja Utama</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S.1</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Meningkatkan Partisipasi Murni Pendidikan Dasar PAUD,SD,SMP)</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I.K.S.1.1</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Angka Partisipasi Sekolah (APS) 5-6 PAUD</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after="240" w:line="360" w:lineRule="auto"/>
              <w:jc w:val="both"/>
              <w:rPr>
                <w:rFonts w:ascii="Bookman Old Style" w:hAnsi="Bookman Old Style" w:cs="Calibri"/>
                <w:color w:val="000000"/>
                <w:lang w:val="id-ID"/>
              </w:rPr>
            </w:pPr>
            <w:r>
              <w:rPr>
                <w:rFonts w:ascii="Bookman Old Style" w:hAnsi="Bookman Old Style" w:cs="Calibri"/>
                <w:color w:val="000000"/>
                <w:lang w:val="en-ID"/>
              </w:rPr>
              <w:t xml:space="preserve">Angka Partisipasi Sekolah (APS) usia 5–6 tahun menunjukkan persentase anak usia 5–6 tahun yang mengikuti pendidikan baik pada jalur formal (TK/RA) maupun non formal (kelompok bermain, SPS dan TPA) dibandingkan dengan jumlah total penduduk usia 5–6 tahun. Indikator ini mencerminkan tingkat akses anak usia dini terhadap layanan pendidikan yang berkualitas. </w:t>
            </w:r>
          </w:p>
          <w:p w:rsidR="00035482" w:rsidRDefault="00035482" w:rsidP="00035482">
            <w:pPr>
              <w:spacing w:after="240" w:line="360" w:lineRule="auto"/>
              <w:jc w:val="both"/>
              <w:rPr>
                <w:rFonts w:ascii="Bookman Old Style" w:hAnsi="Bookman Old Style" w:cs="Calibri"/>
                <w:color w:val="000000"/>
                <w:lang w:val="id-ID"/>
              </w:rPr>
            </w:pPr>
            <w:r>
              <w:rPr>
                <w:rFonts w:ascii="Bookman Old Style" w:hAnsi="Bookman Old Style" w:cs="Calibri"/>
                <w:color w:val="000000"/>
                <w:lang w:val="en-ID"/>
              </w:rPr>
              <w:t>Tujuan dari indikator ini adalah untuk menilai sejauh mana anak usia 5–6 tahun sudah memperoleh layanan pendidikan dan menjadi dasar dalam penyusunan kebijakan pemerataan serta peningkatan mutu layanan PAUD di daerah.</w:t>
            </w:r>
          </w:p>
          <w:p w:rsidR="00035482" w:rsidRDefault="00035482" w:rsidP="00035482">
            <w:pPr>
              <w:spacing w:line="360" w:lineRule="auto"/>
              <w:jc w:val="both"/>
              <w:rPr>
                <w:rFonts w:ascii="Bookman Old Style" w:hAnsi="Bookman Old Style" w:cs="Calibri"/>
                <w:color w:val="000000"/>
                <w:lang w:val="id-ID"/>
              </w:rPr>
            </w:pPr>
            <w:r>
              <w:rPr>
                <w:rFonts w:ascii="Bookman Old Style" w:hAnsi="Bookman Old Style" w:cs="Calibri"/>
                <w:color w:val="000000"/>
                <w:lang w:val="en-ID"/>
              </w:rPr>
              <w:t xml:space="preserve">Angka Partisipasi Sekolah (APS) 5-6 PAUD dikeluarkan oleh Kementerian Pendidikan Dasar dan Menengah melalui Rapor </w:t>
            </w:r>
            <w:r>
              <w:rPr>
                <w:rFonts w:ascii="Bookman Old Style" w:hAnsi="Bookman Old Style" w:cs="Calibri"/>
                <w:color w:val="000000"/>
                <w:lang w:val="en-ID"/>
              </w:rPr>
              <w:lastRenderedPageBreak/>
              <w:t>Pendidikan, berdasarkan Peraturan Menteri Pendidikan, Kebudayaan, Riset, dan Teknologi Nomor 9 Tahun 2022 tentang Evaluasi Sistem Pendidikan oleh Pemerintah Pusat dan Pemerintah Daerah terhadap Pendidikan Anak Usia Dini, Pendidikan Dasar, dan Pendidikan Menengah. Angka Partisipasi Sekolah (APS) 5-6 PAUD memiliki kategori sebagai berikut:</w:t>
            </w:r>
          </w:p>
          <w:p w:rsidR="00035482" w:rsidRPr="00035482" w:rsidRDefault="00035482" w:rsidP="00035482">
            <w:pPr>
              <w:pStyle w:val="ListParagraph"/>
              <w:numPr>
                <w:ilvl w:val="0"/>
                <w:numId w:val="25"/>
              </w:numPr>
              <w:spacing w:line="360" w:lineRule="auto"/>
              <w:jc w:val="both"/>
              <w:rPr>
                <w:rFonts w:ascii="Bookman Old Style" w:hAnsi="Bookman Old Style" w:cs="Calibri"/>
                <w:color w:val="000000"/>
                <w:sz w:val="24"/>
                <w:lang w:val="id-ID"/>
              </w:rPr>
            </w:pPr>
            <w:r w:rsidRPr="00035482">
              <w:rPr>
                <w:rFonts w:ascii="Bookman Old Style" w:hAnsi="Bookman Old Style" w:cs="Calibri"/>
                <w:color w:val="000000"/>
                <w:sz w:val="24"/>
                <w:lang w:val="en-ID"/>
              </w:rPr>
              <w:t>Kategori “Tinggi” berarti tingginya proporsi anak yang bersekolah usia 5-6 tahun</w:t>
            </w:r>
          </w:p>
          <w:p w:rsidR="00035482" w:rsidRPr="00035482" w:rsidRDefault="00035482" w:rsidP="00035482">
            <w:pPr>
              <w:pStyle w:val="ListParagraph"/>
              <w:numPr>
                <w:ilvl w:val="0"/>
                <w:numId w:val="25"/>
              </w:numPr>
              <w:spacing w:line="360" w:lineRule="auto"/>
              <w:jc w:val="both"/>
              <w:rPr>
                <w:rFonts w:ascii="Bookman Old Style" w:hAnsi="Bookman Old Style" w:cs="Calibri"/>
                <w:color w:val="000000"/>
                <w:sz w:val="24"/>
                <w:lang w:val="id-ID"/>
              </w:rPr>
            </w:pPr>
            <w:r w:rsidRPr="00035482">
              <w:rPr>
                <w:rFonts w:ascii="Bookman Old Style" w:hAnsi="Bookman Old Style" w:cs="Calibri"/>
                <w:color w:val="000000"/>
                <w:sz w:val="24"/>
                <w:lang w:val="en-ID"/>
              </w:rPr>
              <w:t>Kategori “Sedang” berarti cukup tingginya proporsi anak yang bersekolah usia 5-6 tahun</w:t>
            </w:r>
          </w:p>
          <w:p w:rsidR="00035482" w:rsidRPr="00035482" w:rsidRDefault="00035482" w:rsidP="00035482">
            <w:pPr>
              <w:pStyle w:val="ListParagraph"/>
              <w:numPr>
                <w:ilvl w:val="0"/>
                <w:numId w:val="25"/>
              </w:numPr>
              <w:spacing w:after="240" w:line="360" w:lineRule="auto"/>
              <w:jc w:val="both"/>
              <w:rPr>
                <w:rFonts w:ascii="Bookman Old Style" w:hAnsi="Bookman Old Style" w:cs="Calibri"/>
                <w:color w:val="000000"/>
                <w:sz w:val="24"/>
                <w:lang w:val="id-ID"/>
              </w:rPr>
            </w:pPr>
            <w:r w:rsidRPr="00035482">
              <w:rPr>
                <w:rFonts w:ascii="Bookman Old Style" w:hAnsi="Bookman Old Style" w:cs="Calibri"/>
                <w:color w:val="000000"/>
                <w:sz w:val="24"/>
                <w:lang w:val="en-ID"/>
              </w:rPr>
              <w:t xml:space="preserve">Kategori “Rendah” berarti rendahnya proporsi anak yang bersekolah </w:t>
            </w:r>
            <w:proofErr w:type="gramStart"/>
            <w:r w:rsidRPr="00035482">
              <w:rPr>
                <w:rFonts w:ascii="Bookman Old Style" w:hAnsi="Bookman Old Style" w:cs="Calibri"/>
                <w:color w:val="000000"/>
                <w:sz w:val="24"/>
                <w:lang w:val="en-ID"/>
              </w:rPr>
              <w:t>usia</w:t>
            </w:r>
            <w:proofErr w:type="gramEnd"/>
            <w:r w:rsidRPr="00035482">
              <w:rPr>
                <w:rFonts w:ascii="Bookman Old Style" w:hAnsi="Bookman Old Style" w:cs="Calibri"/>
                <w:color w:val="000000"/>
                <w:sz w:val="24"/>
                <w:lang w:val="en-ID"/>
              </w:rPr>
              <w:t xml:space="preserve"> 5-6 tahun.</w:t>
            </w:r>
          </w:p>
          <w:p w:rsidR="00035482" w:rsidRDefault="00035482" w:rsidP="00035482">
            <w:pPr>
              <w:spacing w:after="240" w:line="360" w:lineRule="auto"/>
              <w:jc w:val="both"/>
              <w:rPr>
                <w:rFonts w:ascii="Bookman Old Style" w:hAnsi="Bookman Old Style" w:cs="Calibri"/>
                <w:color w:val="000000"/>
                <w:lang w:val="id-ID"/>
              </w:rPr>
            </w:pPr>
            <w:r>
              <w:rPr>
                <w:rFonts w:ascii="Bookman Old Style" w:hAnsi="Bookman Old Style" w:cs="Calibri"/>
                <w:color w:val="000000"/>
                <w:lang w:val="en-ID"/>
              </w:rPr>
              <w:t>Indikator tersebut dinyatakan dalam bentuk persentase (%) dengan skala perhitungan dalam rentang 0-100%, dan target peningkatan 2</w:t>
            </w:r>
            <w:proofErr w:type="gramStart"/>
            <w:r>
              <w:rPr>
                <w:rFonts w:ascii="Bookman Old Style" w:hAnsi="Bookman Old Style" w:cs="Calibri"/>
                <w:color w:val="000000"/>
                <w:lang w:val="en-ID"/>
              </w:rPr>
              <w:t>,54</w:t>
            </w:r>
            <w:proofErr w:type="gramEnd"/>
            <w:r>
              <w:rPr>
                <w:rFonts w:ascii="Bookman Old Style" w:hAnsi="Bookman Old Style" w:cs="Calibri"/>
                <w:color w:val="000000"/>
                <w:lang w:val="en-ID"/>
              </w:rPr>
              <w:t>% - 2,97% per tahun.</w:t>
            </w:r>
          </w:p>
          <w:p w:rsidR="00035482" w:rsidRDefault="00035482" w:rsidP="00035482">
            <w:pPr>
              <w:spacing w:after="240" w:line="360" w:lineRule="auto"/>
              <w:jc w:val="both"/>
              <w:rPr>
                <w:rFonts w:ascii="Bookman Old Style" w:hAnsi="Bookman Old Style" w:cs="Calibri"/>
                <w:color w:val="000000"/>
                <w:lang w:val="id-ID"/>
              </w:rPr>
            </w:pPr>
            <w:r>
              <w:rPr>
                <w:rFonts w:ascii="Bookman Old Style" w:hAnsi="Bookman Old Style" w:cs="Calibri"/>
                <w:color w:val="000000"/>
                <w:lang w:val="en-ID"/>
              </w:rPr>
              <w:t>Indikator ini relevan dengan RPJMD Kabupaten Gresik melalui sasaran “Mewujudkan layanan pendidikan berkualitas, inklusif, dan berkeadilan melalui peningkatan akses, perlindungan hak anak, kesetaraan gender, infrastruktur pendukung, dan pemberdayaan masy</w:t>
            </w:r>
            <w:bookmarkStart w:id="0" w:name="_GoBack"/>
            <w:bookmarkEnd w:id="0"/>
            <w:r>
              <w:rPr>
                <w:rFonts w:ascii="Bookman Old Style" w:hAnsi="Bookman Old Style" w:cs="Calibri"/>
                <w:color w:val="000000"/>
                <w:lang w:val="en-ID"/>
              </w:rPr>
              <w:t>arakat.” Dan relevan dengan Indikator Standar Pelayanan Minimal Bidang Pendidikan.</w:t>
            </w:r>
          </w:p>
          <w:p w:rsidR="00035482" w:rsidRPr="00035482" w:rsidRDefault="00035482" w:rsidP="00035482">
            <w:pPr>
              <w:spacing w:after="240" w:line="360" w:lineRule="auto"/>
              <w:jc w:val="both"/>
              <w:rPr>
                <w:rFonts w:ascii="Bookman Old Style" w:hAnsi="Bookman Old Style" w:cs="Calibri"/>
                <w:color w:val="000000"/>
                <w:lang w:val="id-ID"/>
              </w:rPr>
            </w:pPr>
            <w:r>
              <w:rPr>
                <w:rFonts w:ascii="Bookman Old Style" w:hAnsi="Bookman Old Style" w:cs="Calibri"/>
                <w:color w:val="000000"/>
                <w:lang w:val="en-ID"/>
              </w:rPr>
              <w:t>Indikator diukur secara periodik setiap tahun sebagai bagian dari pelaporan kinerja pendidikan daerah dan nasional.</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Data Rapor Pendidikan dari Kementerian Pendidikan Dasar dan Menengah (Kemendikdasmen)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I.K.S.1.2</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Angka Partisipasi Sekolah (APS) 7 - 15 SD/SMP</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Angka Partisipasi Sekolah (APS) usia 7–15 tahun menunjukkan persentase jumlah penduduk usia 7–15 tahun yang mengikuti pendidikan dasar pada jalur formal (SD/MI/Sederajat dan SMP/MTs/Sederajat) maupun nonformal dibandingkan dengan jumlah total penduduk usia 7–15 tahun. </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adalah untuk menilai sejauh mana penduduk usia 7–15 tahun telah memperoleh layanan pendidikan dasar secara merata dan menjadi dasar bagi penyusunan kebijakan pemerataan akses, pencegahan putus sekolah, serta </w:t>
            </w:r>
            <w:r>
              <w:rPr>
                <w:rFonts w:ascii="Bookman Old Style" w:hAnsi="Bookman Old Style" w:cs="Calibri"/>
                <w:color w:val="000000"/>
                <w:lang w:val="en-ID"/>
              </w:rPr>
              <w:lastRenderedPageBreak/>
              <w:t xml:space="preserve">peningkatan mutu layanan pendidikan dasar di daerah. </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Angka Partisipasi Sekolah (APS) 7-15 SD/SMP dikeluarkan oleh Kementerian Pendidikan Dasar dan Menengah melalui Rapor Pendidikan, berdasarkan Peraturan Menteri Pendidikan, Kebudayaan, Riset, dan Teknologi Nomor 9 Tahun 2022 tentang Evaluasi Sistem Pendidikan oleh Pemerintah Pusat dan Pemerintah Daerah terhadap Pendidikan Anak Usia Dini, Pendidikan Dasar, dan Pendidikan Menengah. Angka Partisipasi Sekolah (APS) 7-15 SD/SMP memiliki kategori sebagai berikut:</w:t>
            </w:r>
          </w:p>
        </w:tc>
      </w:tr>
      <w:tr w:rsidR="002A4581" w:rsidTr="002A4581">
        <w:trPr>
          <w:trHeight w:val="31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1. Kategori “Tinggi” berarti tingginya proporsi anak yang bersekolah usia 7-15 tahun</w:t>
            </w:r>
          </w:p>
        </w:tc>
      </w:tr>
      <w:tr w:rsidR="002A4581" w:rsidTr="002A4581">
        <w:trPr>
          <w:trHeight w:val="31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2. Kategori “Sedang” berarti cukup tingginya proporsi anak yang bersekolah usia 7-15 tahun</w:t>
            </w:r>
          </w:p>
        </w:tc>
      </w:tr>
      <w:tr w:rsidR="002A4581" w:rsidTr="002A4581">
        <w:trPr>
          <w:trHeight w:val="31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3. Kategori “Rendah” berarti rendahnya proporsi anak yang bersekolah usia 7-15 tahun.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tersebut dinyatakan dalam bentuk persentase (%) dengan skala perhitungan dalam rentang 0-100%, dan target peningkatan 0.11% - 0.12%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“Mewujudkan layanan pendidikan berkualitas, inklusif, dan berkeadilan melalui peningkatan akses, perlindungan hak anak, kesetaraan gender, infrastruktur pendukung, dan pemberdayaan masyarakat.”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Pr="002A4581" w:rsidRDefault="002A4581" w:rsidP="00035482">
            <w:pPr>
              <w:spacing w:line="360" w:lineRule="auto"/>
              <w:jc w:val="both"/>
              <w:rPr>
                <w:rFonts w:ascii="Bookman Old Style" w:hAnsi="Bookman Old Style" w:cs="Calibri"/>
                <w:color w:val="000000"/>
                <w:lang w:val="id-ID"/>
              </w:rPr>
            </w:pPr>
            <w:r>
              <w:rPr>
                <w:rFonts w:ascii="Bookman Old Style" w:hAnsi="Bookman Old Style" w:cs="Calibri"/>
                <w:color w:val="000000"/>
                <w:lang w:val="en-ID"/>
              </w:rPr>
              <w:t>Indikator diukur secara periodik setiap tahun sebagai bagian dari pelaporan kinerja pendidikan daerah dan nasional.</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Data Rapor Pendidikan dari Kementerian Pendidikan Dasar dan Menengah (Kemendikdasmen)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I.K.S.1.3</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Angka Partisipasi Sekolah (APS) 7 - 18 Kesetaraan</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Angka Partisipasi Sekolah (APS) usia 7–18 tahun menunjukkan persentase jumlah penduduk usia 7–18 tahun yang mengikuti pendidikan kesetaraan dibandingkan dengan jumlah total penduduk usia 7–18 tahun. Indikator menjadi gambaran seberapa besar keterlibatan penduduk usia sekolah dalam layanan pendidikan.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adalah untuk menilai sejauh mana penduduk usia 7–18 tahun telah memperoleh akses pendidikan dasar dan menengah secara merata serta menjadi dasar dalam perumusan kebijakan pencegahan putus sekolah, pemerataan akses, dan peningkatan mutu layanan pendidikan menengah di daerah. </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Angka Partisipasi Sekolah (APS) 7-18 Kesetaraan dikeluarkan oleh Kementerian Pendidikan Dasar dan Menengah melalui Rapor Pendidikan, berdasarkan Peraturan Menteri Pendidikan, Kebudayaan, Riset, dan Teknologi Nomor 9 Tahun 2022 tentang Evaluasi Sistem Pendidikan oleh Pemerintah Pusat dan Pemerintah Daerah terhadap Pendidikan Anak Usia Dini, Pendidikan Dasar, dan Pendidikan Menengah. Angka Partisipasi Sekolah (APS) 7-18 Kesetaraan memiliki kategori sebagai berikut:</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4. Kategori “Tinggi” berarti tingginya proporsi anak yang bersekolah usia 7-18 tahun di Pendidikan Kesetaraan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5. Kategori “Sedang” berarti cukup tingginya proporsi anak yang bersekolah usia 7-18 tahun di Pendidikan Kesetaraan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6. Kategori “Rendah” berarti rendahnya proporsi anak yang bersekolah usia 7-18 tahun di Pendidikan Kesetaraan.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tersebut dinyatakan dalam bentuk persentase (%) dengan skala perhitungan dalam rentang 0-100%, dan target peningkatan 4</w:t>
            </w:r>
            <w:proofErr w:type="gramStart"/>
            <w:r>
              <w:rPr>
                <w:rFonts w:ascii="Bookman Old Style" w:hAnsi="Bookman Old Style" w:cs="Calibri"/>
                <w:color w:val="000000"/>
                <w:lang w:val="en-ID"/>
              </w:rPr>
              <w:t>,97</w:t>
            </w:r>
            <w:proofErr w:type="gramEnd"/>
            <w:r>
              <w:rPr>
                <w:rFonts w:ascii="Bookman Old Style" w:hAnsi="Bookman Old Style" w:cs="Calibri"/>
                <w:color w:val="000000"/>
                <w:lang w:val="en-ID"/>
              </w:rPr>
              <w:t>% - 4,98%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“Mewujudkan layanan pendidikan berkualitas, inklusif, dan berkeadilan melalui peningkatan akses, perlindungan hak anak, kesetaraan gender, infrastruktur pendukung, dan pemberdayaan masyarakat.”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 dan nasional.</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Data Rapor Pendidikan dari Kementerian Pendidikan Dasar dan Menengah (Kemendikdasmen)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I.K.S.1.4</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Proporsi Penduduk Berusia 15 tahun ke atas yang Berkualifikasi Perguruan Tinggi</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Proporsi Penduduk Berusia 15 tahun ke atas yang Berkualifikasi Perguruan Tinggi menunjukkan persentase penduduk usia 15 tahun ke atas yang telah menamatkan pendidikan minimal diploma, sarjana, magister, atau doktor dibandingkan dengan total penduduk pada kelompok usia tersebut.</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Tujuan dari indikator ini adalah untuk menilai capaian tingkat pendidikan tinggi di masyarakat, serta menggambarkan ketersediaan sumber daya manusia dengan kualifikasi perguruan tinggi yang dapat berkontribusi pada pembangunan daerah dan nasional.</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indikator dilakukan dengan membandingkan jumlah penduduk usia 15 tahun ke atas yang telah menamatkan perguruan tinggi dengan total penduduk usia 15 tahun ke atas kemudian dinyatakan dalam bentuk persentase(%).</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dihitung dalam rentang 0–100% dengan target peningkatan indikator sebesar 0</w:t>
            </w:r>
            <w:proofErr w:type="gramStart"/>
            <w:r>
              <w:rPr>
                <w:rFonts w:ascii="Bookman Old Style" w:hAnsi="Bookman Old Style" w:cs="Calibri"/>
                <w:color w:val="000000"/>
                <w:lang w:val="en-ID"/>
              </w:rPr>
              <w:t>,1</w:t>
            </w:r>
            <w:proofErr w:type="gramEnd"/>
            <w:r>
              <w:rPr>
                <w:rFonts w:ascii="Bookman Old Style" w:hAnsi="Bookman Old Style" w:cs="Calibri"/>
                <w:color w:val="000000"/>
                <w:lang w:val="en-ID"/>
              </w:rPr>
              <w:t xml:space="preserve"> - 1,18%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“Mewujudkan layanan pendidikan berkualitas, inklusif, dan berkeadilan melalui peningkatan akses, perlindungan hak anak, kesetaraan gender, infrastruktur pendukung, dan pemberdayaan masyarakat.”</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Indikator diukur secara periodik setiap tahun sebagai bagian dari pelaporan kinerja pendidikan daerah dan nasional. </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Data Statistik Ketenagakerjaan dari BPS Kabupaten Gresik</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S.2</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Meningkatkan kualitas tenaga pendidikan dan kependidikan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I.K.S.2.1</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Proporsi Guru PAUD Formal dengan Kualifikasi S1/D4</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218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Pertumbuhan proporsi guru PAUD formal dengan kualifikasi S1/D-IV menunjukkan persentase guru pada satuan Pendidikan Anak Usia Dini (PAUD) formal, yaitu Taman Kanak-Kanak (TK) dan Raudhatul Athfal (RA), yang telah memenuhi kualifikasi akademik minimal Strata 1 (S1) atau Diploma IV (D-IV) dibandingkan dengan jumlah total guru PAUD formal yang ada. Indikator ini mencerminkan tingkat pemenuhan standar kualifikasi pendidik sebagaimana diamanatkan dalam Undang-Undang Guru dan Dosen serta regulasi pendidikan nasional.</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adalah untuk menilai peningkatan kualifikasi akademik guru PAUD formal sebagai dasar dalam </w:t>
            </w:r>
            <w:r>
              <w:rPr>
                <w:rFonts w:ascii="Bookman Old Style" w:hAnsi="Bookman Old Style" w:cs="Calibri"/>
                <w:color w:val="000000"/>
                <w:lang w:val="en-ID"/>
              </w:rPr>
              <w:lastRenderedPageBreak/>
              <w:t>penyusunan kebijakan peningkatan profesionalisme pendidik, program beasiswa, serta pengembangan kompetensi tenaga pendidik PAUD.</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Perhitungan dilakukan dengan cara membandingkan jumlah guru PAUD formal dengan kualifikasi minimal S1/D-IV dibagi jumlah total guru PAUD formal, kemudian dinyatakan dalam persentase. Pemerintah Pusat dan Daerah menetapkan target peningkatan persentase ini secara bertahap dari tahun ke tahun. </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dengan kenaikan tingkat capaian sebesar 0</w:t>
            </w:r>
            <w:proofErr w:type="gramStart"/>
            <w:r>
              <w:rPr>
                <w:rFonts w:ascii="Bookman Old Style" w:hAnsi="Bookman Old Style" w:cs="Calibri"/>
                <w:color w:val="000000"/>
                <w:lang w:val="en-ID"/>
              </w:rPr>
              <w:t>,5</w:t>
            </w:r>
            <w:proofErr w:type="gramEnd"/>
            <w:r>
              <w:rPr>
                <w:rFonts w:ascii="Bookman Old Style" w:hAnsi="Bookman Old Style" w:cs="Calibri"/>
                <w:color w:val="000000"/>
                <w:lang w:val="en-ID"/>
              </w:rPr>
              <w:t>%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“Meningkatkan keberdayaan dan kualitas hidup masyarakat secara meluas di berbagai aspek kesejahteraan” dan “Meningkatkan Kualitas dan Aksesibilitas Penyelenggaraan Layanan Dasar Pendidikan”.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w:t>
            </w:r>
          </w:p>
        </w:tc>
      </w:tr>
      <w:tr w:rsidR="002A4581" w:rsidTr="002A4581">
        <w:trPr>
          <w:trHeight w:val="636"/>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I.K.S.2.2</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Rata-rata satuan pendidikan tingkat SD, SMP yang Tenaga Pendidik dan Kependidikannya sesuai dengan SNP</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Rata-rata satuan pendidikan SD dan SMP yang memiliki Standar Isi sesuai dengan Standar Nasional Pendidikan (SNP) menunjukkan tingkat kesesuaian kurikulum dan materi pembelajaran yang diterapkan oleh sekolah dengan ketentuan yang telah ditetapkan secara nasional. Indikator ini mencerminkan sejauh mana satuan pendidikan dasar mampu mengimplementasikan kurikulum yang relevan, bermutu, dan memenuhi standar minimum yang diwajibkan oleh pemerintah. </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Tujuan dari indikator ini adalah untuk menilai persentase rata-rata satuan pendidikan SD dan SMP yang telah memenuhi Standar Isi sesuai SNP, sekaligus menjadi dasar penyusunan kebijakan dalam peningkatan kualitas kurikulum dan proses pembelajaran di tingkat daerah.</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Perhitungan dilakukan dengan cara membandingkan persentase satuan pendidikan SD yang Tenaga Pendidik dan Kependidikannya sesuai SNP dengan persentase satuan pendidikan SMP yang Tenaga Pendidik dan Kependidikannya sesuai SNP, kemudian dinyatakan dalam persentase. Pemerintah daerah menetapkan target peningkatan persentase ini secara bertahap dari tahun ke tahun sebagai bagian dari strategi peningkatan mutu pendidikan. </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pengukuran menggunakan rentang 0–100%, dengan kenaikan tingkat capaian sebesar 0</w:t>
            </w:r>
            <w:proofErr w:type="gramStart"/>
            <w:r>
              <w:rPr>
                <w:rFonts w:ascii="Bookman Old Style" w:hAnsi="Bookman Old Style" w:cs="Calibri"/>
                <w:color w:val="000000"/>
                <w:lang w:val="en-ID"/>
              </w:rPr>
              <w:t>,02</w:t>
            </w:r>
            <w:proofErr w:type="gramEnd"/>
            <w:r>
              <w:rPr>
                <w:rFonts w:ascii="Bookman Old Style" w:hAnsi="Bookman Old Style" w:cs="Calibri"/>
                <w:color w:val="000000"/>
                <w:lang w:val="en-ID"/>
              </w:rPr>
              <w:t>%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khususnya pada sasaran  “Meningkatkan keberdayaan dan kualitas hidup masyarakat secara meluas di berbagai aspek kesejahteraan” dan “Meningkatkan Kualitas dan Aksesibilitas Penyelenggaraan Layanan Dasar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Sumber data: </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 atau Data Pendidik dan Tenaga Kependidikan Aplikasi Gresik PD Seru Dinas Pendidikan</w:t>
            </w:r>
          </w:p>
        </w:tc>
      </w:tr>
      <w:tr w:rsidR="002A4581" w:rsidTr="002A4581">
        <w:trPr>
          <w:trHeight w:val="636"/>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S.3</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Meningkatkan kualitas, akuntabilitas, dan inklusifitas pengendalian dan perizinan pendidikan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I.K.S.3.1</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Proporsi Jumlah Satuan PAUD Terakreditasi Minimal B</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Peningkatan proporsi jumlah satuan PAUD yang mendapatkan minimal akreditasi B menunjukkan persentase lembaga Pendidikan Anak Usia Dini (PAUD) yang telah memenuhi standar mutu layanan pendidikan sesuai kriteria akreditasi nasional dan memperoleh peringkat minimal B dari Badan Akreditasi Nasional PAUD dan Pendidikan Nonformal (BAN PAUD dan PNF). Indikator ini mencerminkan kualitas layanan pembelajaran, manajemen, serta kelayakan sarana dan prasarana di lembaga PAUD. </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Tujuan dari indikator ini adalah untuk menilai capaian mutu penyelenggaraan layanan PAUD di daerah serta menjadi dasar dalam penyusunan kebijakan peningkatan kualitas, pendampingan, dan pembinaan lembaga PAUD agar mencapai standar nasional.</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Perhitungan dilakukan dengan menggunakan rumus, yaitu jumlah satuan PAUD yang memiliki akreditasi minimal B dibagi dengan jumlah total satuan PAUD yang terakreditasi, kemudian dinyatakan dalam persentase. Pemerintah Pusat dan Daerah menetapkan target peningkatan persentase ini secara bertahap dari tahun ke tahun sebagai bagian dari strategi peningkatan mutu pendidikan. </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dengan kenaikan tingkat capaian sebesar 0</w:t>
            </w:r>
            <w:proofErr w:type="gramStart"/>
            <w:r>
              <w:rPr>
                <w:rFonts w:ascii="Bookman Old Style" w:hAnsi="Bookman Old Style" w:cs="Calibri"/>
                <w:color w:val="000000"/>
                <w:lang w:val="en-ID"/>
              </w:rPr>
              <w:t>,41</w:t>
            </w:r>
            <w:proofErr w:type="gramEnd"/>
            <w:r>
              <w:rPr>
                <w:rFonts w:ascii="Bookman Old Style" w:hAnsi="Bookman Old Style" w:cs="Calibri"/>
                <w:color w:val="000000"/>
                <w:lang w:val="en-ID"/>
              </w:rPr>
              <w:t>% per tahun.</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khususnya pada sasaran  “Meningkatkan keberdayaan dan kualitas hidup masyarakat secara meluas di berbagai aspek kesejahteraan” dan “Meningkatkan Kualitas dan Aksesibilitas Penyelenggaraan Layanan Dasar Pendidikan”.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I.K.S.3.2</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Rata-rata satuan pendidikan SD, SMP yang memiliki Standar Isi sesuai SNP</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Rata-rata satuan pendidikan SD dan SMP yang memiliki Standar Isi sesuai Standar Nasional Pendidikan (SNP) menunjukkan tingkat kesesuaian kurikulum, ruang lingkup materi, dan kedalaman kompetensi yang diajarkan di sekolah dengan standar yang ditetapkan secara nasional. </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untuk menilai persentase rata-rata satuan pendidikan dasar yang telah memenuhi Standar Isi sesuai SNP, sekaligus menjadi dasar dalam penyusunan kebijakan peningkatan mutu kurikulum dan pembelajaran di tingkat daerah. </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Perhitungan dilakukan dengan cara membandingkan persentase satuan pendidikan SD yang Standar Isinya sesuai SNP dengan persentase satuan pendidikan SMP yang Standar Isinya sesuai SNP, kemudian dinyatakan dalam persentase. Pemerintah daerah menetapkan target peningkatan persentase ini secara bertahap dari tahun ke tahun sebagai bagian dari strategi peningkatan mutu pendidikan. </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dengan kenaikan tingkat capaian sebesar 0</w:t>
            </w:r>
            <w:proofErr w:type="gramStart"/>
            <w:r>
              <w:rPr>
                <w:rFonts w:ascii="Bookman Old Style" w:hAnsi="Bookman Old Style" w:cs="Calibri"/>
                <w:color w:val="000000"/>
                <w:lang w:val="en-ID"/>
              </w:rPr>
              <w:t>,02</w:t>
            </w:r>
            <w:proofErr w:type="gramEnd"/>
            <w:r>
              <w:rPr>
                <w:rFonts w:ascii="Bookman Old Style" w:hAnsi="Bookman Old Style" w:cs="Calibri"/>
                <w:color w:val="000000"/>
                <w:lang w:val="en-ID"/>
              </w:rPr>
              <w:t>%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khususnya pada sasaran  “Meningkatkan keberdayaan dan kualitas hidup masyarakat secara meluas di berbagai aspek kesejahteraan” dan “Meningkatkan Kualitas dan Aksesibilitas Penyelenggaraan Layanan Dasar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 atau Data Akreditasi Aplikasi Gresik PD Seru Dinas Pendidikan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I.K.S.3.3</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Rata-rata satuan pendidikan tingkat SD, SMP yang Standar Prosesnya sesuai dengan SNP</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Rata-rata satuan pendidikan tingkat SD dan SMP yang Standar Prosesnya sesuai dengan Standar Nasional Pendidikan (SNP) menunjukkan tingkat kepatuhan sekolah terhadap standar penyelenggaraan proses pembelajaran yang telah ditetapkan secara nasional, meliputi perencanaan pembelajaran, pelaksanaan kegiatan belajar mengajar, penilaian hasil belajar, serta pengawasan proses pembelajaran. </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untuk menilai kualitas penyelenggaraan proses pendidikan di satuan pendidikan dasar secara menyeluruh sekaligus menjadi dasar dalam penyusunan kebijakan peningkatan mutu pembelajaran di tingkat daerah. </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Perhitungan dilakukan dengan cara membandingkan persentase satuan pendidikan SD yang Standar Prosesnya sesuai SNP dengan persentase satuan pendidikan SMP yang Standar Prosesnya sesuai SNP, kemudian dinyatakan dalam persentase. Pemerintah daerah menetapkan target peningkatan persentase ini secara bertahap dari tahun ke tahun sebagai bagian dari strategi peningkatan mutu pendidikan. </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dengan kenaikan tingkat capaian sebesar 0</w:t>
            </w:r>
            <w:proofErr w:type="gramStart"/>
            <w:r>
              <w:rPr>
                <w:rFonts w:ascii="Bookman Old Style" w:hAnsi="Bookman Old Style" w:cs="Calibri"/>
                <w:color w:val="000000"/>
                <w:lang w:val="en-ID"/>
              </w:rPr>
              <w:t>,02</w:t>
            </w:r>
            <w:proofErr w:type="gramEnd"/>
            <w:r>
              <w:rPr>
                <w:rFonts w:ascii="Bookman Old Style" w:hAnsi="Bookman Old Style" w:cs="Calibri"/>
                <w:color w:val="000000"/>
                <w:lang w:val="en-ID"/>
              </w:rPr>
              <w:t>%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Indikator ini relevan dengan RPJMD Kabupaten Gresik, khususnya pada sasaran  “Meningkatkan keberdayaan dan kualitas hidup masyarakat secara meluas di berbagai aspek kesejahteraan” dan </w:t>
            </w:r>
            <w:r>
              <w:rPr>
                <w:rFonts w:ascii="Bookman Old Style" w:hAnsi="Bookman Old Style" w:cs="Calibri"/>
                <w:color w:val="000000"/>
                <w:lang w:val="en-ID"/>
              </w:rPr>
              <w:lastRenderedPageBreak/>
              <w:t>“Meningkatkan Kualitas dan Aksesibilitas Penyelenggaraan Layanan Dasar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 atau Data Akreditasi Aplikasi Gresik PD Seru Dinas Pendidikan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I.K.S.3.4</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Rata-rata satuan pendidikan tingkat SD, SMP yang Standar Penilaian sesuai dengan SNP</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Rata-rata satuan pendidikan tingkat SD dan SMP yang Standar Penilaiannya sesuai dengan Standar Nasional Pendidikan (SNP) menunjukkan sejauh mana sekolah telah melaksanakan sistem penilaian hasil belajar peserta didik sesuai dengan prinsip, prosedur, dan ketentuan yang berlaku secara nasional. Standar penilaian ini mencakup perencanaan penilaian, pelaksanaan, pengolahan, pemanfaatan hasil, serta tindak lanjut dalam upaya meningkatkan capaian belajar siswa. </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Tujuan dari indikator ini untuk menilai kepatuhan dan kualitas pelaksanaan penilaian di satuan pendidikan dasar serta menjadi dasar dalam perumusan kebijakan peningkatan mutu evaluasi pembelajaran di tingkat daerah.</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Perhitungan dilakukan dengan cara membandingkan persentase satuan pendidikan SD yang Standar Penilaiannya sesuai SNP dengan persentase satuan pendidikan SMP yang Standar Penilaiannya sesuai SNP, kemudian dinyatakan dalam persentase. Pemerintah daerah menetapkan target peningkatan persentase ini secara bertahap dari tahun ke tahun sebagai bagian dari strategi peningkatan mutu pendidikan. </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dengan kenaikan tingkat capaian sebesar 0</w:t>
            </w:r>
            <w:proofErr w:type="gramStart"/>
            <w:r>
              <w:rPr>
                <w:rFonts w:ascii="Bookman Old Style" w:hAnsi="Bookman Old Style" w:cs="Calibri"/>
                <w:color w:val="000000"/>
                <w:lang w:val="en-ID"/>
              </w:rPr>
              <w:t>,02</w:t>
            </w:r>
            <w:proofErr w:type="gramEnd"/>
            <w:r>
              <w:rPr>
                <w:rFonts w:ascii="Bookman Old Style" w:hAnsi="Bookman Old Style" w:cs="Calibri"/>
                <w:color w:val="000000"/>
                <w:lang w:val="en-ID"/>
              </w:rPr>
              <w:t>%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khususnya pada sasaran  “Meningkatkan keberdayaan dan kualitas hidup masyarakat secara meluas di berbagai aspek kesejahteraan” dan “Meningkatkan Kualitas dan Aksesibilitas Penyelenggaraan Layanan Dasar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Indikator diukur secara periodik setiap tahun sebagai bagian dari </w:t>
            </w:r>
            <w:r>
              <w:rPr>
                <w:rFonts w:ascii="Bookman Old Style" w:hAnsi="Bookman Old Style" w:cs="Calibri"/>
                <w:color w:val="000000"/>
                <w:lang w:val="en-ID"/>
              </w:rPr>
              <w:lastRenderedPageBreak/>
              <w:t>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 :</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 atau Data Akreditasi Aplikasi Gresik PD Seru Dinas Pendidikan</w:t>
            </w:r>
          </w:p>
        </w:tc>
      </w:tr>
      <w:tr w:rsidR="002A4581" w:rsidTr="002A4581">
        <w:trPr>
          <w:trHeight w:val="636"/>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I.K.S.3.5</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Rata-rata satuan pendidikan tingkat SD, SMP yang Standar Kelulusannya sesuai dengan SNP</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Rata-rata satuan pendidikan tingkat SD dan SMP yang Standar Kelulusannya sesuai dengan Standar Nasional Pendidikan (SNP) menunjukkan sejauh mana sekolah telah menetapkan, melaksanakan, dan mengevaluasi kriteria kelulusan peserta didik sesuai ketentuan yang berlaku secara nasional. Standar kelulusan ini mencakup pencapaian kompetensi sikap, pengetahuan, dan keterampilan yang ditetapkan dalam kurikulum, serta kelengkapan penyelesaian program pembelajaran oleh peserta didik. </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untuk menilai kepatuhan satuan pendidikan terhadap ketentuan standar kelulusan nasional, sekaligus memastikan bahwa proses penentuan kelulusan tidak hanya berbasis pada aspek akademik, tetapi juga perkembangan karakter dan kompetensi holistik peserta didik. </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dilakukan dengan cara membandingkan persentase satuan pendidikan SD yang Standar Kelulusannya sesuai SNP dengan persentase satuan pendidikan SMP yang Standar Kelulusannya sesuai SNP, kemudian dinyatakan dalam persentase. Pemerintah daerah menetapkan target yang sesuai dengan standar ini setiap tahun sebagai bagian dari agenda perbaikan mutu pendidikan.</w:t>
            </w:r>
          </w:p>
        </w:tc>
      </w:tr>
      <w:tr w:rsidR="002A4581" w:rsidTr="002A4581">
        <w:trPr>
          <w:trHeight w:val="31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dengan target 100% setiap tahunnya.</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khususnya pada sasaran  “Meningkatkan keberdayaan dan kualitas hidup masyarakat secara meluas di berbagai aspek kesejahteraan” dan “Meningkatkan Kualitas dan Aksesibilitas Penyelenggaraan Layanan Dasar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 :</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 atau Data Kelulusan Aplikasi Gresik PD Seru Dinas Pendidikan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S.4</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Meningkatnya Kemampuan literasi dan numerasi pada jenjang pendidikan dasar</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I.K.S.4.1</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Rata-rata Kemampuan Literasi</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Rata-rata Kemampuan Literasi menunjukkan tingkat penguasaan peserta didik dalam keterampilan membaca, memahami, menafsirkan, serta mengevaluasi informasi dari berbagai jenis teks. Indikator ini mencerminkan capaian kompetensi dasar literasi yang menjadi fondasi utama bagi keberhasilan peserta didik dalam seluruh mata pelajaran. </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adalah untuk menilai capaian rata-rata kemampuan literasi peserta didik, sekaligus menjadi dasar penyusunan kebijakan peningkatan mutu pembelajaran berbasis literasi, penguatan kompetensi guru, dan strategi peningkatan kualitas pendidikan. </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indikator dilakukan dengan menghitung rata-rata skor literasi peserta didik jenjang SD dan SMP berdasarkan skor hasil Asesmen Nasional (AN) pada komponen literasi yang ada dalam laporan Rapor Pendidikan.</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Berdasarkan target skor literasi yang ditetapkan Kementerian Pendidikan Dasar dan Menengah, Pemerintah Daerah menentukan kenaikan capaian rata - rata kemampuan literasi sebesar 1</w:t>
            </w:r>
            <w:proofErr w:type="gramStart"/>
            <w:r>
              <w:rPr>
                <w:rFonts w:ascii="Bookman Old Style" w:hAnsi="Bookman Old Style" w:cs="Calibri"/>
                <w:color w:val="000000"/>
                <w:lang w:val="en-ID"/>
              </w:rPr>
              <w:t>,8</w:t>
            </w:r>
            <w:proofErr w:type="gramEnd"/>
            <w:r>
              <w:rPr>
                <w:rFonts w:ascii="Bookman Old Style" w:hAnsi="Bookman Old Style" w:cs="Calibri"/>
                <w:color w:val="000000"/>
                <w:lang w:val="en-ID"/>
              </w:rPr>
              <w:t xml:space="preserve">% per tahun. </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“Mewujudkan layanan pendidikan berkualitas, inklusif, dan berkeadilan melalui peningkatan akses, perlindungan hak anak, kesetaraan gender, infrastruktur pendukung, dan pemberdayaan masyarakat.”Dan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Indikator diukur secara periodik setiap tahun sebagai bagian dari pelaporan kinerja pendidikan daerah dan nasional. </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Data Rapor Pendidikan dari Kementerian Pendidikan Dasar dan Menengah (Kemendikdasmen)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I.K.S.4.2</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Rata-rata Kemampuan Numerasi</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Rata-rata Kemampuan Numerasi menunjukkan tingkat penguasaan peserta didik dalam keterampilan menggunakan konsep bilangan, operasi hitung, pengukuran, geometri, data, dan pemecahan masalah dalam berbagai konteks kehidupan sehari-hari. Indikator ini mencerminkan capaian kompetensi dasar numerasi yang penting untuk membentuk kemampuan berpikir logis, analitis, dan kritis peserta didik. </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adalah untuk menilai capaian rata-rata kemampuan numerasi peserta didik secara umum serta menjadi dasar penyusunan kebijakan peningkatan mutu pembelajaran matematika dan integrasi numerasi lintas mata pelajaran. </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indikator dilakukan dengan menghitung rata-rata skor numerasi peserta didik jenjang SD dan SMP berdasarkan skor hasil Asesmen Nasional (AN) pada komponen numerasi yang ada dalam laporan Rapor Pendidikan.</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Skala pengukuran menggunakan rentang 0–100%. Berdasarkan target skor numerasi yang ditetapkan Kementerian Pendidikan Dasar dan Menengah, Pemerintah Daerah menentukan kenaikan capaian rata - rata kemampuan numerasi sebesar 2.15 - 2.25% per tahun. </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“Mewujudkan layanan pendidikan berkualitas, inklusif, dan berkeadilan melalui peningkatan akses, perlindungan hak anak, kesetaraan gender, infrastruktur pendukung, dan pemberdayaan masyarakat.”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 dan nasional.</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w:t>
            </w:r>
          </w:p>
        </w:tc>
      </w:tr>
      <w:tr w:rsidR="002A4581" w:rsidTr="002A4581">
        <w:trPr>
          <w:trHeight w:val="636"/>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S.5</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Meningkatkan perlindungan anak dengan pemenuhan hak - hak anak secara inklusif di sektor pendidikan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I.K.S.5.1</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Iklim Keamanan SD</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Iklim Keamanan SD menunjukkan kondisi lingkungan belajar di Sekolah Dasar (SD) yang bebas dari kekerasan, perundungan (bullying), diskriminasi, serta bentuk ancaman fisik maupun psikologis lainnya yang dapat mengganggu kenyamanan peserta </w:t>
            </w:r>
            <w:r>
              <w:rPr>
                <w:rFonts w:ascii="Bookman Old Style" w:hAnsi="Bookman Old Style" w:cs="Calibri"/>
                <w:color w:val="000000"/>
                <w:lang w:val="en-ID"/>
              </w:rPr>
              <w:lastRenderedPageBreak/>
              <w:t xml:space="preserve">didik dalam mengikuti proses pembelajaran. Indikator ini mencerminkan tingkat rasa aman yang dirasakan peserta didik di sekolah sebagai salah satu prasyarat terciptanya pembelajaran yang efektif. </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adalah untuk menilai kualitas iklim sekolah khususnya dalam aspek keamanan, serta menjadi dasar dalam penyusunan kebijakan peningkatan perlindungan anak di lingkungan sekolah. </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dilakukan berdasarkan hasil survei Asesmen Nasional, khususnya Survei Lingkungan Belajar (Sulingjar), atau instrumen pengukuran lain yang ditetapkan oleh Kementerian Pendidikan. Kementerian Pendidikan Dasar dan Menengah menetapkan target peningkatan skor iklim keamanan secara bertahap dari tahun ke tahun agar semua sekolah dasar dapat menyediakan lingkungan belajar yang aman dan inklusif. Iklim Keamanan SD memiliki kategori sebagai berikut:</w:t>
            </w:r>
          </w:p>
        </w:tc>
      </w:tr>
      <w:tr w:rsidR="002A4581" w:rsidTr="002A4581">
        <w:trPr>
          <w:trHeight w:val="31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1. Kategori “Baik” berarti Sekolah SD sudah mampu menciptakan lingkungan yang aman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2. Kategori “Sedang” berarti Sekolah SD mulai mampu mengembangkan inisiatif untuk menciptakan lingkungan yang aman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3. Kategori “Kurang” berarti Sekolah SD belum cukup mampu mengembangkan inisiatif untuk menciptakan lingkungan yang aman.</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yang menggambarkan tingkat capaian persepsi keamanan siswa di sekolah, dengan kenaikan tingkat capaian sebesar 0.9%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“Meningkatkan keberdayaan dan kualitas hidup masyarakat secara meluas di berbagai aspek kesejahteraan” dan “Meningkatkan Kualitas dan Aksesibilitas Penyelenggaraan Layanan Dasar Pendidikan”.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I.K.S.5.2</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Iklim Keamanan SMP</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lastRenderedPageBreak/>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Iklim Keamanan SMP menunjukkan kondisi lingkungan belajar di Sekolah Menengah Pertama (SMP) yang bebas dari kekerasan, perundungan (bullying), diskriminasi, maupun bentuk ancaman fisik dan psikologis yang dapat mengganggu kenyamanan peserta didik dalam mengikuti pembelajaran. Indikator ini mencerminkan tingkat rasa aman yang dirasakan peserta didik di SMP sebagai salah satu faktor penting dalam mendukung terciptanya suasana belajar yang sehat, inklusif, dan kondusif.</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Tujuan dari indikator ini adalah untuk menilai kualitas iklim sekolah dalam aspek keamanan serta menjadi dasar dalam penyusunan kebijakan perlindungan anak di tingkat pendidikan menengah pertama.</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dilakukan berdasarkan hasil survei Asesmen Nasional, khususnya melalui Survei Lingkungan Belajar (Sulingjar), atau instrumen pengukuran lain yang ditetapkan oleh Kementerian Pendidikan. Kementerian Pendidikan Dasar dan Menengah menetapkan target peningkatan skor iklim keamanan SMP secara bertahap setiap tahun agar seluruh sekolah menengah pertama dapat menyediakan lingkungan belajar yang aman, nyaman, dan bebas dari kekerasan. Iklim Keamanan SMP memiliki kategori sebagai berikut:</w:t>
            </w:r>
          </w:p>
        </w:tc>
      </w:tr>
      <w:tr w:rsidR="002A4581" w:rsidTr="002A4581">
        <w:trPr>
          <w:trHeight w:val="31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4. Kategori “Baik” berarti Sekolah SMP sudah mampu menciptakan lingkungan yang aman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5. Kategori “Sedang” berarti Sekolah SMP mulai mampu mengembangkan inisiatif untuk menciptakan lingkungan yang aman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6. Kategori “Kurang” berarti Sekolah SMP belum cukup mampu mengembangkan inisiatif untuk menciptakan lingkungan yang aman.</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yang menunjukkan tingkat capaian persepsi keamanan siswa di sekolah, dengan kenaikan tingkat capaian sebesar 1%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“Meningkatkan keberdayaan dan kualitas hidup masyarakat secara meluas di berbagai aspek kesejahteraan” dan “Meningkatkan Kualitas dan Aksesibilitas Penyelenggaraan Layanan Dasar Pendidikan”.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Sumber data: </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w:t>
            </w:r>
          </w:p>
        </w:tc>
      </w:tr>
      <w:tr w:rsidR="002A4581" w:rsidTr="002A4581">
        <w:trPr>
          <w:trHeight w:val="636"/>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S.6</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Meningkatkan keadilan dan keseteraan gender dalam pembangunan Daerah dan Desa di sektor pendidikan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I.K.S.6.1</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Iklim Kebinekaan SD</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Iklim Kebinekaan SD menunjukkan kondisi lingkungan belajar di Sekolah Dasar (SD) yang mencerminkan penerimaan, penghargaan, dan penghormatan terhadap keberagaman, baik dari aspek agama, budaya, suku, gender, maupun kondisi sosial peserta didik. Indikator ini menggambarkan sejauh mana sekolah dasar mampu menumbuhkan sikap toleransi, inklusivitas, dan penghargaan terhadap perbedaan sebagai bagian dari proses pendidikan karakter. </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adalah untuk menilai kualitas iklim sekolah dalam aspek kebhinekaan dan menjadi dasar bagi penyusunan kebijakan pendidikan yang menekankan pada penguatan nilai-nilai toleransi, kebangsaan, dan kerukunan di lingkungan sekolah dasar. </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dilakukan berdasarkan hasil survei Asesmen Nasional, khususnya melalui Survei Lingkungan Belajar (Sulingjar), atau instrumen pengukuran lain yang ditetapkan oleh Kementerian Pendidikan. Kementerian Pendidikan Dasar dan Menengah menetapkan target peningkatan skor iklim kebhinekaan secara bertahap setiap tahun agar seluruh sekolah dasar mampu menciptakan suasana belajar yang inklusif, toleran, dan berkeadaban. Iklim Kebinekaan SD memiliki kategori sebagai berikut:</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1. Kategori “Baik” berarti Sekolah SD sudah mampu menghadirkan suasana belajar yang menjunjung tinggi toleransi keberagaman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2. Kategori “Sedang” berarti Sekolah SD mulai mampu menghadirkan suasana belajar yang menjunjung tinggi toleransi keberagaman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3. Kategori “Kurang” berarti Sekolah SD kurang mampu menghadirkan suasana belajar yang menjunjung tinggi toleransi keberagaman.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yang menunjukkan tingkat capaian persepsi kebinekaan di sekolah, dengan kenaikan tingkat capaian sebesar 1%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“Meningkatkan keberdayaan dan kualitas hidup masyarakat secara meluas di berbagai aspek kesejahteraan” dan “Meningkatkan Kualitas dan Aksesibilitas Penyelenggaraan Layanan Dasar Pendidikan”.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I.K.S.6.2</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Iklim Kebinekaan SMP</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Iklim Kebinekaan SMP menunjukkan kondisi lingkungan belajar di Sekolah Menengah Pertama (SMP) yang mencerminkan penerimaan, penghargaan, dan penghormatan terhadap keberagaman agama, budaya, suku, bahasa, gender, maupun latar belakang sosial peserta didik. Indikator ini menggambarkan sejauh mana sekolah menengah pertama mampu menumbuhkan sikap toleransi, inklusivitas, dan penghargaan terhadap perbedaan sebagai bagian dari pembentukan karakter peserta didik. </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adalah untuk menilai kualitas iklim sekolah dalam aspek kebhinekaan serta menjadi dasar bagi penyusunan kebijakan pendidikan yang berorientasi pada penguatan nilai-nilai kebangsaan, toleransi, dan kerukunan di tingkat pendidikan menengah pertama. </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dilakukan berdasarkan hasil survei Asesmen Nasional, khususnya melalui Survei Lingkungan Belajar (Sulingjar), atau instrumen lain yang ditetapkan oleh Kementerian Pendidikan. Kementerian Pendidikan Dasar dan Menengah menetapkan target peningkatan skor iklim kebhinekaan secara bertahap dari tahun ke tahun agar seluruh SMP mampu menciptakan suasana belajar yang inklusif, demokratis, toleran, dan berkeadaban. Iklim Kebinekaan SMP memiliki kategori sebagai berikut:</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4. Kategori “Baik” berarti Sekolah SMP sudah mampu </w:t>
            </w:r>
            <w:r>
              <w:rPr>
                <w:rFonts w:ascii="Bookman Old Style" w:hAnsi="Bookman Old Style" w:cs="Calibri"/>
                <w:color w:val="000000"/>
                <w:lang w:val="en-ID"/>
              </w:rPr>
              <w:lastRenderedPageBreak/>
              <w:t>menghadirkan suasana belajar yang menjunjung tinggi toleransi keberagaman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5. Kategori “Sedang” berarti Sekolah SMP mulai mampu menghadirkan suasana belajar yang menjunjung tinggi toleransi keberagaman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6. Kategori “Kurang” berarti Sekolah SMP kurang mampu menghadirkan suasana belajar yang menjunjung tinggi toleransi keberagaman.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yang menunjukkan tingkat capaian persepsi kebinekaan di sekolah, dengan kenaikan tingkat capaian sebesar 1%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“Meningkatkan keberdayaan dan kualitas hidup masyarakat secara meluas di berbagai aspek kesejahteraan” dan “Meningkatkan Kualitas dan Aksesibilitas Penyelenggaraan Layanan Dasar Pendidikan”.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S.7</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Meningkatkan Partisipasi Murni Pendidikan Dasar (SD, SMP) di wilayah rentan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I.K.S.7.1</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Rata-rata APM Perempuan terhadap laki-laki pada jenjang SD dan SMP di wilayah rentan</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Rata-rata APM Perempuan terhadap Laki-laki pada jenjang SD dan SMP di wilayah rentan menunjukkan perbandingan angka partisipasi murni (APM) antara peserta didik perempuan dan laki-laki pada jenjang SD dan SMP yang berada di kecamatan dengan angka putus sekolah tertinggi.</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Tujuan dari indikator ini adalah untuk menilai kesenjangan akses pendidikan antara perempuan dan laki-laki di daerah dengan risiko tinggi putus sekolah, sehingga dapat digunakan untuk merumuskan kebijakan afirmatif dalam peningkatan pemerataan layanan pendidikan dasar.</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dilakukan dengan cara membandingkan persentase APM Perempuan terhadap Laki-laki jenjang SD Sederajat dengan APM Perempuan terhadap Laki-laki jenjang SMP Sederajat di wilayah rentan, kemudian dinyatakan dalam persentase. Pemerintah daerah menetapkan target yang sesuai dengan standar ini setiap tahun sebagai bagian dari agenda perbaikan mutu pendidikan.</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dengan target 0</w:t>
            </w:r>
            <w:proofErr w:type="gramStart"/>
            <w:r>
              <w:rPr>
                <w:rFonts w:ascii="Bookman Old Style" w:hAnsi="Bookman Old Style" w:cs="Calibri"/>
                <w:color w:val="000000"/>
                <w:lang w:val="en-ID"/>
              </w:rPr>
              <w:t>,01</w:t>
            </w:r>
            <w:proofErr w:type="gramEnd"/>
            <w:r>
              <w:rPr>
                <w:rFonts w:ascii="Bookman Old Style" w:hAnsi="Bookman Old Style" w:cs="Calibri"/>
                <w:color w:val="000000"/>
                <w:lang w:val="en-ID"/>
              </w:rPr>
              <w:t>-0,03% setiap tahunnya.</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khususnya pada sasaran  “Meningkatkan keberdayaan dan kualitas hidup masyarakat secara meluas di berbagai aspek kesejahteraan” dan “Meningkatkan Kualitas dan Aksesibilitas Penyelenggaraan Layanan Dasar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Data Peserta Didik Aplikasi Gresik PD Seru Dinas Pendidikan</w:t>
            </w:r>
          </w:p>
        </w:tc>
      </w:tr>
      <w:tr w:rsidR="002A4581" w:rsidTr="002A4581">
        <w:trPr>
          <w:trHeight w:val="6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S.8</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Meningkatkan keadilan dan keseteraan gender serta keberdayaan inklusi sosial dalam pembangunan Daerah dan Desa di sektor pendidikan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I.K.S.8.1</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Iklim Inklusivitas SD</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Iklim Inklusivitas SD menunjukkan kondisi lingkungan belajar di Sekolah Dasar (SD) yang mencerminkan keterbukaan, penerimaan, serta penghargaan terhadap seluruh peserta didik tanpa diskriminasi, termasuk anak dengan kebutuhan khusus, perbedaan gender, latar belakang sosial, ekonomi, budaya, maupun agama. Indikator ini menggambarkan sejauh mana sekolah dasar mampu menciptakan suasana belajar yang ramah, adil, dan mendukung partisipasi penuh seluruh peserta didik. </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adalah untuk menilai kualitas iklim sekolah dalam aspek inklusivitas dan menjadi dasar bagi penyusunan kebijakan pendidikan yang menekankan pada kesetaraan kesempatan belajar, perlindungan hak anak, serta pemberdayaan sekolah ramah anak. </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dilakukan berdasarkan hasil survei Asesmen Nasional, khususnya melalui Survei Lingkungan Belajar (Sulingjar), atau instrumen pengukuran lain yang ditetapkan oleh Kementerian Pendidikan Dasar dan Menengah. Kementerian Pendidikan Dasar dan Menengah menetapkan target peningkatan skor iklim inklusivitas secara bertahap setiap tahun agar seluruh sekolah dasar mampu menciptakan suasana belajar yang inklusif, ramah anak, dan non diskriminatif. Iklim Inklusivitas SD memiliki kategori sebagai berikut:</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1. Kategori “Baik” berarti Sekolah SD sudah mampu memfasilitasi kebutuhan murid dengan disabilitas dan CIBI (Cerdas Istimewa dan Berbakat Istimewa)</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2. Kategori “Sedang” berarti Sekolah SD mulai mampu memfasilitasi kebutuhan murid dengan disabilitas dan CIBI (Cerdas Istimewa dan Berbakat Istimewa)</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3. Kategori “Kurang” berarti Sekolah SD belum cukup mampu memfasilitasi kebutuhan murid dengan disabilitas dan CIBI (Cerdas Istimewa dan Berbakat Istimewa).</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yang menunjukkan tingkat capaian persepsi inklusivitas di sekolah, dengan kenaikan tingkat capaian sebesar 2</w:t>
            </w:r>
            <w:proofErr w:type="gramStart"/>
            <w:r>
              <w:rPr>
                <w:rFonts w:ascii="Bookman Old Style" w:hAnsi="Bookman Old Style" w:cs="Calibri"/>
                <w:color w:val="000000"/>
                <w:lang w:val="en-ID"/>
              </w:rPr>
              <w:t>,5</w:t>
            </w:r>
            <w:proofErr w:type="gramEnd"/>
            <w:r>
              <w:rPr>
                <w:rFonts w:ascii="Bookman Old Style" w:hAnsi="Bookman Old Style" w:cs="Calibri"/>
                <w:color w:val="000000"/>
                <w:lang w:val="en-ID"/>
              </w:rPr>
              <w:t>%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“Meningkatkan keberdayaan dan kualitas hidup masyarakat secara meluas di berbagai aspek kesejahteraan” dan “Meningkatkan Kualitas dan Aksesibilitas Penyelenggaraan Layanan Dasar Pendidikan”.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I.K.S.8.2</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Iklim Inklusivitas SMP</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Defisinisi:</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Iklim Inklusivitas SMP menunjukkan kondisi lingkungan belajar di Sekolah Menengah Pertama (SMP) yang mencerminkan keterbukaan, penerimaan, serta penghargaan terhadap seluruh peserta didik tanpa diskriminasi, termasuk anak dengan kebutuhan khusus, perbedaan gender, latar belakang sosial, </w:t>
            </w:r>
            <w:r>
              <w:rPr>
                <w:rFonts w:ascii="Bookman Old Style" w:hAnsi="Bookman Old Style" w:cs="Calibri"/>
                <w:color w:val="000000"/>
                <w:lang w:val="en-ID"/>
              </w:rPr>
              <w:lastRenderedPageBreak/>
              <w:t xml:space="preserve">ekonomi, budaya, maupun agama. Indikator ini mencerminkan sejauh mana sekolah menengah pertama mampu menyediakan suasana belajar yang ramah, adil, setara, serta mendukung partisipasi penuh seluruh peserta didik. </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Tujuan dari indikator ini adalah untuk menilai kualitas iklim sekolah dalam aspek inklusivitas serta menjadi dasar bagi penyusunan kebijakan pendidikan yang menekankan kesetaraan kesempatan belajar, perlindungan hak anak, dan penguatan sekolah ramah anak. </w:t>
            </w:r>
          </w:p>
        </w:tc>
      </w:tr>
      <w:tr w:rsidR="002A4581" w:rsidTr="002A4581">
        <w:trPr>
          <w:trHeight w:val="1872"/>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dilakukan berdasarkan hasil survei Asesmen Nasional, khususnya melalui Survei Lingkungan Belajar (Sulingjar), atau instrumen lain yang ditetapkan oleh Kementerian Pendidikan. Kementerian Pendidikan Dasar dan Menengah menetapkan target peningkatan skor iklim inklusivitas secara bertahap setiap tahun agar seluruh SMP mampu menciptakan lingkungan belajar yang inklusif, ramah anak, non diskriminatif, dan mendukung keberagaman. Iklim Inklusivitas SMP memiliki kategori sebagai berikut:</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4. Kategori “Baik” berarti Sekolah SMP sudah mampu memfasilitasi kebutuhan murid dengan disabilitas dan CIBI (Cerdas Istimewa dan Berbakat Istimewa)</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5. Kategori “Sedang” berarti Sekolah SMP mulai mampu memfasilitasi kebutuhan murid dengan disabilitas dan CIBI (Cerdas Istimewa dan Berbakat Istimewa)</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6. Kategori “Kurang” berarti Sekolah SMP belum cukup mampu memfasilitasi kebutuhan murid dengan disabilitas dan CIBI (Cerdas Istimewa dan Berbakat Istimewa).</w:t>
            </w:r>
          </w:p>
        </w:tc>
      </w:tr>
      <w:tr w:rsidR="002A4581" w:rsidTr="002A4581">
        <w:trPr>
          <w:trHeight w:val="9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yang menunjukkan tingkat capaian persepsi inklusivitas di sekolah, dengan kenaikan tingkat capaian sebesar 1</w:t>
            </w:r>
            <w:proofErr w:type="gramStart"/>
            <w:r>
              <w:rPr>
                <w:rFonts w:ascii="Bookman Old Style" w:hAnsi="Bookman Old Style" w:cs="Calibri"/>
                <w:color w:val="000000"/>
                <w:lang w:val="en-ID"/>
              </w:rPr>
              <w:t>,86</w:t>
            </w:r>
            <w:proofErr w:type="gramEnd"/>
            <w:r>
              <w:rPr>
                <w:rFonts w:ascii="Bookman Old Style" w:hAnsi="Bookman Old Style" w:cs="Calibri"/>
                <w:color w:val="000000"/>
                <w:lang w:val="en-ID"/>
              </w:rPr>
              <w:t>% - 2,94%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“Meningkatkan keberdayaan dan kualitas hidup masyarakat secara meluas di berbagai aspek kesejahteraan” dan “Meningkatkan Kualitas dan Aksesibilitas Penyelenggaraan Layanan Dasar Pendidikan”.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Rapor Pendidikan Kementerian Pendidikan Dasar dan Menengah (Kemendikdasmen)</w:t>
            </w:r>
          </w:p>
        </w:tc>
      </w:tr>
      <w:tr w:rsidR="002A4581" w:rsidTr="002A4581">
        <w:trPr>
          <w:trHeight w:val="636"/>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S.9</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Menurunkan angka putus sekolah untuk memastikan kelanjutan pendidikan anak hingga selesai jenjang dasar</w:t>
            </w:r>
          </w:p>
        </w:tc>
      </w:tr>
      <w:tr w:rsidR="002A4581" w:rsidTr="002A4581">
        <w:trPr>
          <w:trHeight w:val="324"/>
          <w:jc w:val="center"/>
        </w:trPr>
        <w:tc>
          <w:tcPr>
            <w:tcW w:w="1340" w:type="dxa"/>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I.K.S.9.1</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Angka Putus Sekolah</w:t>
            </w:r>
          </w:p>
        </w:tc>
      </w:tr>
      <w:tr w:rsidR="002A4581" w:rsidTr="002A4581">
        <w:trPr>
          <w:trHeight w:val="324"/>
          <w:jc w:val="center"/>
        </w:trPr>
        <w:tc>
          <w:tcPr>
            <w:tcW w:w="1340" w:type="dxa"/>
            <w:vMerge w:val="restart"/>
            <w:shd w:val="clear" w:color="auto" w:fill="auto"/>
            <w:vAlign w:val="center"/>
            <w:hideMark/>
          </w:tcPr>
          <w:p w:rsidR="002A4581" w:rsidRDefault="002A4581" w:rsidP="00035482">
            <w:pPr>
              <w:spacing w:line="360" w:lineRule="auto"/>
              <w:rPr>
                <w:rFonts w:ascii="Bookman Old Style" w:hAnsi="Bookman Old Style" w:cs="Calibri"/>
                <w:color w:val="000000"/>
              </w:rPr>
            </w:pPr>
            <w:r>
              <w:rPr>
                <w:rFonts w:ascii="Bookman Old Style" w:hAnsi="Bookman Old Style" w:cs="Calibri"/>
                <w:color w:val="000000"/>
                <w:lang w:val="en-ID"/>
              </w:rPr>
              <w:t> </w:t>
            </w: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Definisi:</w:t>
            </w:r>
          </w:p>
        </w:tc>
      </w:tr>
      <w:tr w:rsidR="002A4581" w:rsidTr="002A4581">
        <w:trPr>
          <w:trHeight w:val="1560"/>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Angka Putus Sekolah (APtS) menunjukkan persentase jumlah peserta didik pada jenjang pendidikan tertentu (SD/MI, SMP/MTs, atau sederajat) yang tidak dapat menyelesaikan pendidikannya pada satuan pendidikan tersebut dibandingkan dengan jumlah peserta didik pada awal tahun ajaran. Indikator ini mencerminkan tingkat keberlanjutan anak dalam mengikuti pendidikan dan menjadi salah satu ukuran efektivitas layanan pendidikan. </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Tujuan dari indikator ini adalah untuk menilai tingkat keberhasilan pemerintah daerah dalam mempertahankan anak tetap bersekolah hingga lulus, serta menjadi dasar dalam penyusunan kebijakan pencegahan putus sekolah, pemerataan akses, dan penyediaan program intervensi pendidikan bagi anak yang berisiko putus sekolah.</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Perhitungan dilakukan dengan cara membandingkan   jumlah peserta didik yang berhenti sekolah pada tahun tertentu dibagi jumlah peserta didik pada awal tahun ajaran, kemudian dinyatakan dalam persentase. Pemerintah Daerah menetapkan target APtS, dengan target penurunan secara bertahap hingga mendekati nol sebagai standar ideal.</w:t>
            </w:r>
          </w:p>
        </w:tc>
      </w:tr>
      <w:tr w:rsidR="002A4581" w:rsidTr="002A4581">
        <w:trPr>
          <w:trHeight w:val="6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Skala perhitungan menggunakan rentang 0–100%, dengan target penurunan sebesar 0</w:t>
            </w:r>
            <w:proofErr w:type="gramStart"/>
            <w:r>
              <w:rPr>
                <w:rFonts w:ascii="Bookman Old Style" w:hAnsi="Bookman Old Style" w:cs="Calibri"/>
                <w:color w:val="000000"/>
                <w:lang w:val="en-ID"/>
              </w:rPr>
              <w:t>,02</w:t>
            </w:r>
            <w:proofErr w:type="gramEnd"/>
            <w:r>
              <w:rPr>
                <w:rFonts w:ascii="Bookman Old Style" w:hAnsi="Bookman Old Style" w:cs="Calibri"/>
                <w:color w:val="000000"/>
                <w:lang w:val="en-ID"/>
              </w:rPr>
              <w:t>% per tahun.</w:t>
            </w:r>
          </w:p>
        </w:tc>
      </w:tr>
      <w:tr w:rsidR="002A4581" w:rsidTr="002A4581">
        <w:trPr>
          <w:trHeight w:val="1248"/>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ini relevan dengan RPJMD Kabupaten Gresik melalui sasaran “Meningkatkan keberdayaan dan kualitas hidup masyarakat secara meluas di berbagai aspek kesejahteraan” dan “Meningkatkan Kualitas dan Aksesibilitas Penyelenggaraan Layanan Dasar Pendidikan”. Dan relevan dengan Indikator Standar Pelayanan Minimal Bidang Pendidikan.</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Indikator diukur secara periodik setiap tahun sebagai bagian dari pelaporan kinerja pendidikan daerah.</w:t>
            </w:r>
          </w:p>
        </w:tc>
      </w:tr>
      <w:tr w:rsidR="002A4581" w:rsidTr="002A4581">
        <w:trPr>
          <w:trHeight w:val="324"/>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Sumber data:</w:t>
            </w:r>
          </w:p>
        </w:tc>
      </w:tr>
      <w:tr w:rsidR="002A4581" w:rsidTr="002A4581">
        <w:trPr>
          <w:trHeight w:val="636"/>
          <w:jc w:val="center"/>
        </w:trPr>
        <w:tc>
          <w:tcPr>
            <w:tcW w:w="1340" w:type="dxa"/>
            <w:vMerge/>
            <w:vAlign w:val="center"/>
            <w:hideMark/>
          </w:tcPr>
          <w:p w:rsidR="002A4581" w:rsidRDefault="002A4581" w:rsidP="00035482">
            <w:pPr>
              <w:spacing w:line="360" w:lineRule="auto"/>
              <w:rPr>
                <w:rFonts w:ascii="Bookman Old Style" w:hAnsi="Bookman Old Style" w:cs="Calibri"/>
                <w:color w:val="000000"/>
              </w:rPr>
            </w:pPr>
          </w:p>
        </w:tc>
        <w:tc>
          <w:tcPr>
            <w:tcW w:w="8169" w:type="dxa"/>
            <w:shd w:val="clear" w:color="auto" w:fill="auto"/>
            <w:vAlign w:val="center"/>
            <w:hideMark/>
          </w:tcPr>
          <w:p w:rsidR="002A4581" w:rsidRDefault="002A4581" w:rsidP="00035482">
            <w:pPr>
              <w:spacing w:line="360" w:lineRule="auto"/>
              <w:jc w:val="both"/>
              <w:rPr>
                <w:rFonts w:ascii="Bookman Old Style" w:hAnsi="Bookman Old Style" w:cs="Calibri"/>
                <w:color w:val="000000"/>
              </w:rPr>
            </w:pPr>
            <w:r>
              <w:rPr>
                <w:rFonts w:ascii="Bookman Old Style" w:hAnsi="Bookman Old Style" w:cs="Calibri"/>
                <w:color w:val="000000"/>
                <w:lang w:val="en-ID"/>
              </w:rPr>
              <w:t xml:space="preserve">Data Putus Sekolah dari Kementerian Pendidikan Dasar dan Menengah dan Data Peserta Didik dari Aplikasi Gresik PD Seru </w:t>
            </w:r>
            <w:r>
              <w:rPr>
                <w:rFonts w:ascii="Bookman Old Style" w:hAnsi="Bookman Old Style" w:cs="Calibri"/>
                <w:color w:val="000000"/>
                <w:lang w:val="en-ID"/>
              </w:rPr>
              <w:lastRenderedPageBreak/>
              <w:t>Dinas Pendidikan</w:t>
            </w:r>
          </w:p>
        </w:tc>
      </w:tr>
    </w:tbl>
    <w:p w:rsidR="002A4581" w:rsidRDefault="002A4581" w:rsidP="00005A3A">
      <w:pPr>
        <w:rPr>
          <w:lang w:val="id-ID"/>
        </w:rPr>
      </w:pPr>
    </w:p>
    <w:sectPr w:rsidR="002A4581" w:rsidSect="000145C6">
      <w:pgSz w:w="11907" w:h="18711" w:code="10000"/>
      <w:pgMar w:top="851" w:right="1440" w:bottom="851" w:left="1440" w:header="567" w:footer="261"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F6C" w:rsidRDefault="00631F6C">
      <w:r>
        <w:separator/>
      </w:r>
    </w:p>
  </w:endnote>
  <w:endnote w:type="continuationSeparator" w:id="0">
    <w:p w:rsidR="00631F6C" w:rsidRDefault="00631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F6C" w:rsidRDefault="00631F6C">
      <w:r>
        <w:separator/>
      </w:r>
    </w:p>
  </w:footnote>
  <w:footnote w:type="continuationSeparator" w:id="0">
    <w:p w:rsidR="00631F6C" w:rsidRDefault="00631F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D6A4E"/>
    <w:multiLevelType w:val="hybridMultilevel"/>
    <w:tmpl w:val="08BA497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A45141"/>
    <w:multiLevelType w:val="hybridMultilevel"/>
    <w:tmpl w:val="CF1C062A"/>
    <w:lvl w:ilvl="0" w:tplc="E14CB1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297217"/>
    <w:multiLevelType w:val="hybridMultilevel"/>
    <w:tmpl w:val="4A9EE2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00F4F24"/>
    <w:multiLevelType w:val="hybridMultilevel"/>
    <w:tmpl w:val="3BC8BD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FA2B08"/>
    <w:multiLevelType w:val="hybridMultilevel"/>
    <w:tmpl w:val="32009CF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18BD52AD"/>
    <w:multiLevelType w:val="hybridMultilevel"/>
    <w:tmpl w:val="01208B5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221F34E7"/>
    <w:multiLevelType w:val="hybridMultilevel"/>
    <w:tmpl w:val="6FE057C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38439C5"/>
    <w:multiLevelType w:val="hybridMultilevel"/>
    <w:tmpl w:val="DB9C975C"/>
    <w:lvl w:ilvl="0" w:tplc="6B2CEC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A068C6"/>
    <w:multiLevelType w:val="hybridMultilevel"/>
    <w:tmpl w:val="805605F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35B5E95"/>
    <w:multiLevelType w:val="hybridMultilevel"/>
    <w:tmpl w:val="AEF45FA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3DE174C"/>
    <w:multiLevelType w:val="hybridMultilevel"/>
    <w:tmpl w:val="92040D0E"/>
    <w:lvl w:ilvl="0" w:tplc="8F2ACD96">
      <w:start w:val="1"/>
      <w:numFmt w:val="decimal"/>
      <w:lvlText w:val="%1."/>
      <w:lvlJc w:val="left"/>
      <w:pPr>
        <w:ind w:left="840" w:hanging="48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D4B292F"/>
    <w:multiLevelType w:val="hybridMultilevel"/>
    <w:tmpl w:val="F0DCCE38"/>
    <w:lvl w:ilvl="0" w:tplc="B738924C">
      <w:start w:val="1"/>
      <w:numFmt w:val="lowerLetter"/>
      <w:lvlText w:val="%1."/>
      <w:lvlJc w:val="left"/>
      <w:pPr>
        <w:ind w:left="720" w:hanging="360"/>
      </w:pPr>
      <w:rPr>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9046441"/>
    <w:multiLevelType w:val="hybridMultilevel"/>
    <w:tmpl w:val="A4BE8624"/>
    <w:lvl w:ilvl="0" w:tplc="7CE011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6F340A"/>
    <w:multiLevelType w:val="hybridMultilevel"/>
    <w:tmpl w:val="270A12E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C5E023B"/>
    <w:multiLevelType w:val="hybridMultilevel"/>
    <w:tmpl w:val="8BA23DF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4D672D0A"/>
    <w:multiLevelType w:val="hybridMultilevel"/>
    <w:tmpl w:val="1BBA15F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758247B"/>
    <w:multiLevelType w:val="hybridMultilevel"/>
    <w:tmpl w:val="68A03FB8"/>
    <w:lvl w:ilvl="0" w:tplc="6B2CEC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507173"/>
    <w:multiLevelType w:val="hybridMultilevel"/>
    <w:tmpl w:val="AB824DA4"/>
    <w:lvl w:ilvl="0" w:tplc="EF96E476">
      <w:start w:val="1"/>
      <w:numFmt w:val="decimal"/>
      <w:lvlText w:val="%1."/>
      <w:lvlJc w:val="left"/>
      <w:pPr>
        <w:ind w:left="772" w:hanging="360"/>
      </w:pPr>
      <w:rPr>
        <w:color w:val="auto"/>
        <w:sz w:val="24"/>
      </w:rPr>
    </w:lvl>
    <w:lvl w:ilvl="1" w:tplc="04210019" w:tentative="1">
      <w:start w:val="1"/>
      <w:numFmt w:val="lowerLetter"/>
      <w:lvlText w:val="%2."/>
      <w:lvlJc w:val="left"/>
      <w:pPr>
        <w:ind w:left="1492" w:hanging="360"/>
      </w:pPr>
    </w:lvl>
    <w:lvl w:ilvl="2" w:tplc="0421001B" w:tentative="1">
      <w:start w:val="1"/>
      <w:numFmt w:val="lowerRoman"/>
      <w:lvlText w:val="%3."/>
      <w:lvlJc w:val="right"/>
      <w:pPr>
        <w:ind w:left="2212" w:hanging="180"/>
      </w:pPr>
    </w:lvl>
    <w:lvl w:ilvl="3" w:tplc="0421000F" w:tentative="1">
      <w:start w:val="1"/>
      <w:numFmt w:val="decimal"/>
      <w:lvlText w:val="%4."/>
      <w:lvlJc w:val="left"/>
      <w:pPr>
        <w:ind w:left="2932" w:hanging="360"/>
      </w:pPr>
    </w:lvl>
    <w:lvl w:ilvl="4" w:tplc="04210019" w:tentative="1">
      <w:start w:val="1"/>
      <w:numFmt w:val="lowerLetter"/>
      <w:lvlText w:val="%5."/>
      <w:lvlJc w:val="left"/>
      <w:pPr>
        <w:ind w:left="3652" w:hanging="360"/>
      </w:pPr>
    </w:lvl>
    <w:lvl w:ilvl="5" w:tplc="0421001B" w:tentative="1">
      <w:start w:val="1"/>
      <w:numFmt w:val="lowerRoman"/>
      <w:lvlText w:val="%6."/>
      <w:lvlJc w:val="right"/>
      <w:pPr>
        <w:ind w:left="4372" w:hanging="180"/>
      </w:pPr>
    </w:lvl>
    <w:lvl w:ilvl="6" w:tplc="0421000F" w:tentative="1">
      <w:start w:val="1"/>
      <w:numFmt w:val="decimal"/>
      <w:lvlText w:val="%7."/>
      <w:lvlJc w:val="left"/>
      <w:pPr>
        <w:ind w:left="5092" w:hanging="360"/>
      </w:pPr>
    </w:lvl>
    <w:lvl w:ilvl="7" w:tplc="04210019" w:tentative="1">
      <w:start w:val="1"/>
      <w:numFmt w:val="lowerLetter"/>
      <w:lvlText w:val="%8."/>
      <w:lvlJc w:val="left"/>
      <w:pPr>
        <w:ind w:left="5812" w:hanging="360"/>
      </w:pPr>
    </w:lvl>
    <w:lvl w:ilvl="8" w:tplc="0421001B" w:tentative="1">
      <w:start w:val="1"/>
      <w:numFmt w:val="lowerRoman"/>
      <w:lvlText w:val="%9."/>
      <w:lvlJc w:val="right"/>
      <w:pPr>
        <w:ind w:left="6532" w:hanging="180"/>
      </w:pPr>
    </w:lvl>
  </w:abstractNum>
  <w:abstractNum w:abstractNumId="18">
    <w:nsid w:val="5DD46257"/>
    <w:multiLevelType w:val="hybridMultilevel"/>
    <w:tmpl w:val="C16CEEA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F533F21"/>
    <w:multiLevelType w:val="hybridMultilevel"/>
    <w:tmpl w:val="3564C7FE"/>
    <w:lvl w:ilvl="0" w:tplc="74A66A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590C4A"/>
    <w:multiLevelType w:val="hybridMultilevel"/>
    <w:tmpl w:val="53A2D1E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6E1272F9"/>
    <w:multiLevelType w:val="multilevel"/>
    <w:tmpl w:val="19486688"/>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FB53DB2"/>
    <w:multiLevelType w:val="hybridMultilevel"/>
    <w:tmpl w:val="418C1A8C"/>
    <w:lvl w:ilvl="0" w:tplc="1466F1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DA78B7"/>
    <w:multiLevelType w:val="multilevel"/>
    <w:tmpl w:val="823EF1D4"/>
    <w:lvl w:ilvl="0">
      <w:start w:val="1"/>
      <w:numFmt w:val="lowerLetter"/>
      <w:lvlText w:val="%1."/>
      <w:lvlJc w:val="left"/>
      <w:pPr>
        <w:ind w:left="3195" w:hanging="360"/>
      </w:pPr>
    </w:lvl>
    <w:lvl w:ilvl="1">
      <w:start w:val="1"/>
      <w:numFmt w:val="lowerLetter"/>
      <w:lvlText w:val="%2."/>
      <w:lvlJc w:val="left"/>
      <w:pPr>
        <w:ind w:left="3915" w:hanging="360"/>
      </w:pPr>
    </w:lvl>
    <w:lvl w:ilvl="2">
      <w:start w:val="1"/>
      <w:numFmt w:val="lowerRoman"/>
      <w:lvlText w:val="%3."/>
      <w:lvlJc w:val="right"/>
      <w:pPr>
        <w:ind w:left="4635" w:hanging="180"/>
      </w:pPr>
    </w:lvl>
    <w:lvl w:ilvl="3">
      <w:start w:val="1"/>
      <w:numFmt w:val="decimal"/>
      <w:lvlText w:val="%4."/>
      <w:lvlJc w:val="left"/>
      <w:pPr>
        <w:ind w:left="5355" w:hanging="360"/>
      </w:pPr>
    </w:lvl>
    <w:lvl w:ilvl="4">
      <w:start w:val="1"/>
      <w:numFmt w:val="lowerLetter"/>
      <w:lvlText w:val="%5."/>
      <w:lvlJc w:val="left"/>
      <w:pPr>
        <w:ind w:left="6075" w:hanging="360"/>
      </w:pPr>
    </w:lvl>
    <w:lvl w:ilvl="5">
      <w:start w:val="1"/>
      <w:numFmt w:val="lowerRoman"/>
      <w:lvlText w:val="%6."/>
      <w:lvlJc w:val="right"/>
      <w:pPr>
        <w:ind w:left="6795" w:hanging="180"/>
      </w:pPr>
    </w:lvl>
    <w:lvl w:ilvl="6">
      <w:start w:val="1"/>
      <w:numFmt w:val="decimal"/>
      <w:lvlText w:val="%7."/>
      <w:lvlJc w:val="left"/>
      <w:pPr>
        <w:ind w:left="7515" w:hanging="360"/>
      </w:pPr>
    </w:lvl>
    <w:lvl w:ilvl="7">
      <w:start w:val="1"/>
      <w:numFmt w:val="lowerLetter"/>
      <w:lvlText w:val="%8."/>
      <w:lvlJc w:val="left"/>
      <w:pPr>
        <w:ind w:left="8235" w:hanging="360"/>
      </w:pPr>
    </w:lvl>
    <w:lvl w:ilvl="8">
      <w:start w:val="1"/>
      <w:numFmt w:val="lowerRoman"/>
      <w:lvlText w:val="%9."/>
      <w:lvlJc w:val="right"/>
      <w:pPr>
        <w:ind w:left="8955" w:hanging="180"/>
      </w:pPr>
    </w:lvl>
  </w:abstractNum>
  <w:abstractNum w:abstractNumId="24">
    <w:nsid w:val="7FDE31D1"/>
    <w:multiLevelType w:val="hybridMultilevel"/>
    <w:tmpl w:val="B6288F84"/>
    <w:lvl w:ilvl="0" w:tplc="CB1A3CB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FF774F3"/>
    <w:multiLevelType w:val="hybridMultilevel"/>
    <w:tmpl w:val="BFA47B54"/>
    <w:lvl w:ilvl="0" w:tplc="B738924C">
      <w:start w:val="1"/>
      <w:numFmt w:val="lowerLetter"/>
      <w:lvlText w:val="%1."/>
      <w:lvlJc w:val="left"/>
      <w:pPr>
        <w:ind w:left="720" w:hanging="360"/>
      </w:pPr>
      <w:rPr>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3"/>
  </w:num>
  <w:num w:numId="2">
    <w:abstractNumId w:val="8"/>
  </w:num>
  <w:num w:numId="3">
    <w:abstractNumId w:val="18"/>
  </w:num>
  <w:num w:numId="4">
    <w:abstractNumId w:val="3"/>
  </w:num>
  <w:num w:numId="5">
    <w:abstractNumId w:val="7"/>
  </w:num>
  <w:num w:numId="6">
    <w:abstractNumId w:val="22"/>
  </w:num>
  <w:num w:numId="7">
    <w:abstractNumId w:val="19"/>
  </w:num>
  <w:num w:numId="8">
    <w:abstractNumId w:val="12"/>
  </w:num>
  <w:num w:numId="9">
    <w:abstractNumId w:val="16"/>
  </w:num>
  <w:num w:numId="10">
    <w:abstractNumId w:val="1"/>
  </w:num>
  <w:num w:numId="11">
    <w:abstractNumId w:val="24"/>
  </w:num>
  <w:num w:numId="12">
    <w:abstractNumId w:val="14"/>
  </w:num>
  <w:num w:numId="13">
    <w:abstractNumId w:val="5"/>
  </w:num>
  <w:num w:numId="14">
    <w:abstractNumId w:val="4"/>
  </w:num>
  <w:num w:numId="15">
    <w:abstractNumId w:val="9"/>
  </w:num>
  <w:num w:numId="16">
    <w:abstractNumId w:val="11"/>
  </w:num>
  <w:num w:numId="17">
    <w:abstractNumId w:val="6"/>
  </w:num>
  <w:num w:numId="18">
    <w:abstractNumId w:val="15"/>
  </w:num>
  <w:num w:numId="19">
    <w:abstractNumId w:val="0"/>
  </w:num>
  <w:num w:numId="20">
    <w:abstractNumId w:val="25"/>
  </w:num>
  <w:num w:numId="21">
    <w:abstractNumId w:val="17"/>
  </w:num>
  <w:num w:numId="22">
    <w:abstractNumId w:val="21"/>
  </w:num>
  <w:num w:numId="23">
    <w:abstractNumId w:val="23"/>
  </w:num>
  <w:num w:numId="24">
    <w:abstractNumId w:val="20"/>
  </w:num>
  <w:num w:numId="25">
    <w:abstractNumId w:val="2"/>
  </w:num>
  <w:num w:numId="2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7EA"/>
    <w:rsid w:val="00001947"/>
    <w:rsid w:val="00005A3A"/>
    <w:rsid w:val="00013A17"/>
    <w:rsid w:val="000145C6"/>
    <w:rsid w:val="0002299D"/>
    <w:rsid w:val="000261DE"/>
    <w:rsid w:val="00031004"/>
    <w:rsid w:val="00035482"/>
    <w:rsid w:val="00035657"/>
    <w:rsid w:val="000425A9"/>
    <w:rsid w:val="00043844"/>
    <w:rsid w:val="00053A90"/>
    <w:rsid w:val="00064F1F"/>
    <w:rsid w:val="00066357"/>
    <w:rsid w:val="0007075A"/>
    <w:rsid w:val="000712B8"/>
    <w:rsid w:val="0007350F"/>
    <w:rsid w:val="0007690D"/>
    <w:rsid w:val="000860CC"/>
    <w:rsid w:val="0009032E"/>
    <w:rsid w:val="00093F33"/>
    <w:rsid w:val="000A0876"/>
    <w:rsid w:val="000A09F3"/>
    <w:rsid w:val="000A2AD4"/>
    <w:rsid w:val="000A5E83"/>
    <w:rsid w:val="000B01F6"/>
    <w:rsid w:val="000B13D9"/>
    <w:rsid w:val="000B691C"/>
    <w:rsid w:val="000C5317"/>
    <w:rsid w:val="000C5F77"/>
    <w:rsid w:val="000D14CB"/>
    <w:rsid w:val="000D157E"/>
    <w:rsid w:val="000D1991"/>
    <w:rsid w:val="000D2872"/>
    <w:rsid w:val="000D4240"/>
    <w:rsid w:val="000E2161"/>
    <w:rsid w:val="000F4D0D"/>
    <w:rsid w:val="00100CA1"/>
    <w:rsid w:val="0010111D"/>
    <w:rsid w:val="001017DA"/>
    <w:rsid w:val="00107483"/>
    <w:rsid w:val="00107CCF"/>
    <w:rsid w:val="00110E18"/>
    <w:rsid w:val="00111B47"/>
    <w:rsid w:val="00121CA4"/>
    <w:rsid w:val="001277C6"/>
    <w:rsid w:val="0013165B"/>
    <w:rsid w:val="00131992"/>
    <w:rsid w:val="001505A3"/>
    <w:rsid w:val="00153CDB"/>
    <w:rsid w:val="00153FA8"/>
    <w:rsid w:val="00155572"/>
    <w:rsid w:val="00162F2B"/>
    <w:rsid w:val="00170540"/>
    <w:rsid w:val="0017253F"/>
    <w:rsid w:val="001727E3"/>
    <w:rsid w:val="001754EE"/>
    <w:rsid w:val="001824CC"/>
    <w:rsid w:val="00187037"/>
    <w:rsid w:val="001922B0"/>
    <w:rsid w:val="001923E3"/>
    <w:rsid w:val="0019626A"/>
    <w:rsid w:val="001A1F98"/>
    <w:rsid w:val="001A2188"/>
    <w:rsid w:val="001A3087"/>
    <w:rsid w:val="001B06F9"/>
    <w:rsid w:val="001C0EFD"/>
    <w:rsid w:val="001C253E"/>
    <w:rsid w:val="001D0231"/>
    <w:rsid w:val="001D1957"/>
    <w:rsid w:val="001D414C"/>
    <w:rsid w:val="001D565E"/>
    <w:rsid w:val="001E1EC1"/>
    <w:rsid w:val="001E2179"/>
    <w:rsid w:val="001E2F9E"/>
    <w:rsid w:val="001E30AF"/>
    <w:rsid w:val="001E3A90"/>
    <w:rsid w:val="002003BE"/>
    <w:rsid w:val="00200597"/>
    <w:rsid w:val="002109C3"/>
    <w:rsid w:val="00214F9B"/>
    <w:rsid w:val="00217A5E"/>
    <w:rsid w:val="0022067D"/>
    <w:rsid w:val="00225E0D"/>
    <w:rsid w:val="00225F9F"/>
    <w:rsid w:val="00226D14"/>
    <w:rsid w:val="0023162B"/>
    <w:rsid w:val="002408FC"/>
    <w:rsid w:val="002463F5"/>
    <w:rsid w:val="00254CC4"/>
    <w:rsid w:val="00257EF7"/>
    <w:rsid w:val="00262793"/>
    <w:rsid w:val="00263947"/>
    <w:rsid w:val="00265230"/>
    <w:rsid w:val="00270600"/>
    <w:rsid w:val="00270B43"/>
    <w:rsid w:val="002714B2"/>
    <w:rsid w:val="00271A0B"/>
    <w:rsid w:val="00271B92"/>
    <w:rsid w:val="00274BE7"/>
    <w:rsid w:val="0027625D"/>
    <w:rsid w:val="00281B3B"/>
    <w:rsid w:val="0028772B"/>
    <w:rsid w:val="002945E2"/>
    <w:rsid w:val="00297FA9"/>
    <w:rsid w:val="002A00E7"/>
    <w:rsid w:val="002A0657"/>
    <w:rsid w:val="002A0828"/>
    <w:rsid w:val="002A4581"/>
    <w:rsid w:val="002B7B09"/>
    <w:rsid w:val="002C7921"/>
    <w:rsid w:val="002D0E74"/>
    <w:rsid w:val="002D0FF2"/>
    <w:rsid w:val="002D5893"/>
    <w:rsid w:val="002E332A"/>
    <w:rsid w:val="002E6A54"/>
    <w:rsid w:val="002E7E10"/>
    <w:rsid w:val="002F3363"/>
    <w:rsid w:val="002F5BCF"/>
    <w:rsid w:val="00300B21"/>
    <w:rsid w:val="00302EE4"/>
    <w:rsid w:val="00305202"/>
    <w:rsid w:val="003106DF"/>
    <w:rsid w:val="003134DC"/>
    <w:rsid w:val="003220E5"/>
    <w:rsid w:val="00325CC2"/>
    <w:rsid w:val="0033148A"/>
    <w:rsid w:val="003317FE"/>
    <w:rsid w:val="00332F1B"/>
    <w:rsid w:val="00335A5E"/>
    <w:rsid w:val="00336D13"/>
    <w:rsid w:val="00337540"/>
    <w:rsid w:val="003438F2"/>
    <w:rsid w:val="00351967"/>
    <w:rsid w:val="003535BD"/>
    <w:rsid w:val="003548F4"/>
    <w:rsid w:val="003600D1"/>
    <w:rsid w:val="00365B79"/>
    <w:rsid w:val="00373298"/>
    <w:rsid w:val="00376832"/>
    <w:rsid w:val="00382C2A"/>
    <w:rsid w:val="003839E9"/>
    <w:rsid w:val="00384BB0"/>
    <w:rsid w:val="00392AA9"/>
    <w:rsid w:val="003A19AD"/>
    <w:rsid w:val="003A7204"/>
    <w:rsid w:val="003B2AE6"/>
    <w:rsid w:val="003B7CD9"/>
    <w:rsid w:val="003C16AD"/>
    <w:rsid w:val="003C40AD"/>
    <w:rsid w:val="003C6FBE"/>
    <w:rsid w:val="003D045F"/>
    <w:rsid w:val="003D26D2"/>
    <w:rsid w:val="003D3EAA"/>
    <w:rsid w:val="003D4352"/>
    <w:rsid w:val="003D4B3E"/>
    <w:rsid w:val="003E1E21"/>
    <w:rsid w:val="003E43D9"/>
    <w:rsid w:val="003E4963"/>
    <w:rsid w:val="003E5FAC"/>
    <w:rsid w:val="003F07A7"/>
    <w:rsid w:val="003F105D"/>
    <w:rsid w:val="0040527F"/>
    <w:rsid w:val="004338C1"/>
    <w:rsid w:val="00443DB9"/>
    <w:rsid w:val="00463C95"/>
    <w:rsid w:val="004660E2"/>
    <w:rsid w:val="004725AC"/>
    <w:rsid w:val="004762FD"/>
    <w:rsid w:val="004771ED"/>
    <w:rsid w:val="00477BCD"/>
    <w:rsid w:val="004807EC"/>
    <w:rsid w:val="0048560D"/>
    <w:rsid w:val="004919FB"/>
    <w:rsid w:val="004928F2"/>
    <w:rsid w:val="004973B5"/>
    <w:rsid w:val="004A1ED3"/>
    <w:rsid w:val="004A21C9"/>
    <w:rsid w:val="004A3AAF"/>
    <w:rsid w:val="004A4327"/>
    <w:rsid w:val="004A47D3"/>
    <w:rsid w:val="004B2DAC"/>
    <w:rsid w:val="004C2545"/>
    <w:rsid w:val="004C33EF"/>
    <w:rsid w:val="004C72F5"/>
    <w:rsid w:val="004D0E86"/>
    <w:rsid w:val="004D1C62"/>
    <w:rsid w:val="004D322B"/>
    <w:rsid w:val="004D6200"/>
    <w:rsid w:val="004E38A1"/>
    <w:rsid w:val="004F23AF"/>
    <w:rsid w:val="004F2F27"/>
    <w:rsid w:val="00502259"/>
    <w:rsid w:val="005065C6"/>
    <w:rsid w:val="00511352"/>
    <w:rsid w:val="00517ECC"/>
    <w:rsid w:val="005216E1"/>
    <w:rsid w:val="00526F57"/>
    <w:rsid w:val="00527071"/>
    <w:rsid w:val="00542C33"/>
    <w:rsid w:val="00547077"/>
    <w:rsid w:val="00547917"/>
    <w:rsid w:val="00552001"/>
    <w:rsid w:val="005528D1"/>
    <w:rsid w:val="00553667"/>
    <w:rsid w:val="00554E5A"/>
    <w:rsid w:val="0055620A"/>
    <w:rsid w:val="005615C1"/>
    <w:rsid w:val="00562386"/>
    <w:rsid w:val="00567120"/>
    <w:rsid w:val="0057288C"/>
    <w:rsid w:val="00575614"/>
    <w:rsid w:val="005767A4"/>
    <w:rsid w:val="005840EA"/>
    <w:rsid w:val="005922AC"/>
    <w:rsid w:val="0059256B"/>
    <w:rsid w:val="005A34B2"/>
    <w:rsid w:val="005A6326"/>
    <w:rsid w:val="005B0EAF"/>
    <w:rsid w:val="005C17C5"/>
    <w:rsid w:val="005C17D1"/>
    <w:rsid w:val="005C1E2A"/>
    <w:rsid w:val="005C2E18"/>
    <w:rsid w:val="005C347D"/>
    <w:rsid w:val="005C7BCE"/>
    <w:rsid w:val="005D0903"/>
    <w:rsid w:val="005D3173"/>
    <w:rsid w:val="005D6BD6"/>
    <w:rsid w:val="005D7784"/>
    <w:rsid w:val="005D7954"/>
    <w:rsid w:val="005E0725"/>
    <w:rsid w:val="005E7501"/>
    <w:rsid w:val="005F09EB"/>
    <w:rsid w:val="00606B15"/>
    <w:rsid w:val="0061471D"/>
    <w:rsid w:val="0061508E"/>
    <w:rsid w:val="00617CC3"/>
    <w:rsid w:val="00617F71"/>
    <w:rsid w:val="006249B7"/>
    <w:rsid w:val="00625508"/>
    <w:rsid w:val="00630901"/>
    <w:rsid w:val="00630A66"/>
    <w:rsid w:val="0063149B"/>
    <w:rsid w:val="00631F6C"/>
    <w:rsid w:val="00632C3D"/>
    <w:rsid w:val="00635F16"/>
    <w:rsid w:val="006408A4"/>
    <w:rsid w:val="006445E1"/>
    <w:rsid w:val="00644ADB"/>
    <w:rsid w:val="00645D9D"/>
    <w:rsid w:val="0065230B"/>
    <w:rsid w:val="006627EC"/>
    <w:rsid w:val="00664731"/>
    <w:rsid w:val="00664A39"/>
    <w:rsid w:val="00666BB6"/>
    <w:rsid w:val="0067181E"/>
    <w:rsid w:val="006726C0"/>
    <w:rsid w:val="00681A7E"/>
    <w:rsid w:val="0068484C"/>
    <w:rsid w:val="00690725"/>
    <w:rsid w:val="006916E5"/>
    <w:rsid w:val="00692108"/>
    <w:rsid w:val="0069547F"/>
    <w:rsid w:val="00696C86"/>
    <w:rsid w:val="006A07F1"/>
    <w:rsid w:val="006A30A4"/>
    <w:rsid w:val="006A4C2E"/>
    <w:rsid w:val="006A633F"/>
    <w:rsid w:val="006B66F0"/>
    <w:rsid w:val="006C23C5"/>
    <w:rsid w:val="006C3AF7"/>
    <w:rsid w:val="006D17ED"/>
    <w:rsid w:val="006D3EDA"/>
    <w:rsid w:val="006D6160"/>
    <w:rsid w:val="006D7682"/>
    <w:rsid w:val="006D7C4F"/>
    <w:rsid w:val="006E2260"/>
    <w:rsid w:val="006E6797"/>
    <w:rsid w:val="006F5E52"/>
    <w:rsid w:val="00701341"/>
    <w:rsid w:val="00704B59"/>
    <w:rsid w:val="00707C2C"/>
    <w:rsid w:val="007143F5"/>
    <w:rsid w:val="00721BA8"/>
    <w:rsid w:val="00724538"/>
    <w:rsid w:val="00731995"/>
    <w:rsid w:val="00731BD3"/>
    <w:rsid w:val="00731D35"/>
    <w:rsid w:val="00734E4F"/>
    <w:rsid w:val="00736BBC"/>
    <w:rsid w:val="00743A7D"/>
    <w:rsid w:val="00751166"/>
    <w:rsid w:val="00760359"/>
    <w:rsid w:val="00761AA0"/>
    <w:rsid w:val="00765077"/>
    <w:rsid w:val="00767D2D"/>
    <w:rsid w:val="00770533"/>
    <w:rsid w:val="00773F00"/>
    <w:rsid w:val="00775B0F"/>
    <w:rsid w:val="007770AB"/>
    <w:rsid w:val="00784182"/>
    <w:rsid w:val="00786A0F"/>
    <w:rsid w:val="007949E7"/>
    <w:rsid w:val="007A3C53"/>
    <w:rsid w:val="007A3E64"/>
    <w:rsid w:val="007A7D9F"/>
    <w:rsid w:val="007B646F"/>
    <w:rsid w:val="007C0B9B"/>
    <w:rsid w:val="007C4563"/>
    <w:rsid w:val="007C4B95"/>
    <w:rsid w:val="007C7D36"/>
    <w:rsid w:val="007D5686"/>
    <w:rsid w:val="007D7090"/>
    <w:rsid w:val="007E5EC7"/>
    <w:rsid w:val="007E62BA"/>
    <w:rsid w:val="007F0C42"/>
    <w:rsid w:val="007F13D5"/>
    <w:rsid w:val="007F414F"/>
    <w:rsid w:val="007F5308"/>
    <w:rsid w:val="00804893"/>
    <w:rsid w:val="00810C62"/>
    <w:rsid w:val="00810FB2"/>
    <w:rsid w:val="0081156E"/>
    <w:rsid w:val="00813AA0"/>
    <w:rsid w:val="00816657"/>
    <w:rsid w:val="00816875"/>
    <w:rsid w:val="00820985"/>
    <w:rsid w:val="00832287"/>
    <w:rsid w:val="00833C7A"/>
    <w:rsid w:val="00840555"/>
    <w:rsid w:val="00842F58"/>
    <w:rsid w:val="00846025"/>
    <w:rsid w:val="008518DB"/>
    <w:rsid w:val="008526B4"/>
    <w:rsid w:val="00860747"/>
    <w:rsid w:val="008643B2"/>
    <w:rsid w:val="00872870"/>
    <w:rsid w:val="00872C6A"/>
    <w:rsid w:val="008806EA"/>
    <w:rsid w:val="0088186E"/>
    <w:rsid w:val="008824A6"/>
    <w:rsid w:val="00882FFC"/>
    <w:rsid w:val="00894A99"/>
    <w:rsid w:val="008A41FE"/>
    <w:rsid w:val="008A685A"/>
    <w:rsid w:val="008B0774"/>
    <w:rsid w:val="008B59CE"/>
    <w:rsid w:val="008B7A5C"/>
    <w:rsid w:val="008D0AD0"/>
    <w:rsid w:val="008D1E08"/>
    <w:rsid w:val="008D6085"/>
    <w:rsid w:val="008E2C20"/>
    <w:rsid w:val="008E5E91"/>
    <w:rsid w:val="008F2F1E"/>
    <w:rsid w:val="008F3C02"/>
    <w:rsid w:val="00900B63"/>
    <w:rsid w:val="009028C0"/>
    <w:rsid w:val="0090381D"/>
    <w:rsid w:val="00903822"/>
    <w:rsid w:val="0090385E"/>
    <w:rsid w:val="009067EB"/>
    <w:rsid w:val="009116CC"/>
    <w:rsid w:val="00916045"/>
    <w:rsid w:val="009169AB"/>
    <w:rsid w:val="009230B9"/>
    <w:rsid w:val="0093145E"/>
    <w:rsid w:val="009330BD"/>
    <w:rsid w:val="009361DF"/>
    <w:rsid w:val="0094464E"/>
    <w:rsid w:val="009460A8"/>
    <w:rsid w:val="00946B41"/>
    <w:rsid w:val="00954C97"/>
    <w:rsid w:val="00955C16"/>
    <w:rsid w:val="0096314A"/>
    <w:rsid w:val="00963714"/>
    <w:rsid w:val="00965600"/>
    <w:rsid w:val="00972F93"/>
    <w:rsid w:val="009758CC"/>
    <w:rsid w:val="00980572"/>
    <w:rsid w:val="00985252"/>
    <w:rsid w:val="009A3423"/>
    <w:rsid w:val="009A3B56"/>
    <w:rsid w:val="009A57DC"/>
    <w:rsid w:val="009A74D8"/>
    <w:rsid w:val="009B3D0C"/>
    <w:rsid w:val="009C13BB"/>
    <w:rsid w:val="009C6EF2"/>
    <w:rsid w:val="009E21BD"/>
    <w:rsid w:val="009F4F1C"/>
    <w:rsid w:val="009F5BBF"/>
    <w:rsid w:val="00A01157"/>
    <w:rsid w:val="00A04197"/>
    <w:rsid w:val="00A05B32"/>
    <w:rsid w:val="00A157D3"/>
    <w:rsid w:val="00A27C6C"/>
    <w:rsid w:val="00A32A4F"/>
    <w:rsid w:val="00A32FB6"/>
    <w:rsid w:val="00A339AD"/>
    <w:rsid w:val="00A34048"/>
    <w:rsid w:val="00A40AFA"/>
    <w:rsid w:val="00A44227"/>
    <w:rsid w:val="00A45B69"/>
    <w:rsid w:val="00A5168B"/>
    <w:rsid w:val="00A529B6"/>
    <w:rsid w:val="00A53BAA"/>
    <w:rsid w:val="00A54191"/>
    <w:rsid w:val="00A54F80"/>
    <w:rsid w:val="00A63D66"/>
    <w:rsid w:val="00A63D87"/>
    <w:rsid w:val="00A70691"/>
    <w:rsid w:val="00A71970"/>
    <w:rsid w:val="00A7336E"/>
    <w:rsid w:val="00A77764"/>
    <w:rsid w:val="00A83955"/>
    <w:rsid w:val="00A83F7E"/>
    <w:rsid w:val="00A939ED"/>
    <w:rsid w:val="00A93DE5"/>
    <w:rsid w:val="00AA271E"/>
    <w:rsid w:val="00AA433F"/>
    <w:rsid w:val="00AA7579"/>
    <w:rsid w:val="00AB4CBD"/>
    <w:rsid w:val="00AC0E7A"/>
    <w:rsid w:val="00AC4765"/>
    <w:rsid w:val="00AC4810"/>
    <w:rsid w:val="00AD25E0"/>
    <w:rsid w:val="00AD54BD"/>
    <w:rsid w:val="00AD7BF5"/>
    <w:rsid w:val="00AE2FA9"/>
    <w:rsid w:val="00AE7A69"/>
    <w:rsid w:val="00AF2B80"/>
    <w:rsid w:val="00B072B5"/>
    <w:rsid w:val="00B10CE0"/>
    <w:rsid w:val="00B14321"/>
    <w:rsid w:val="00B15579"/>
    <w:rsid w:val="00B26F55"/>
    <w:rsid w:val="00B43BAB"/>
    <w:rsid w:val="00B532A3"/>
    <w:rsid w:val="00B54BC8"/>
    <w:rsid w:val="00B609C2"/>
    <w:rsid w:val="00B6759C"/>
    <w:rsid w:val="00B72846"/>
    <w:rsid w:val="00B868C8"/>
    <w:rsid w:val="00B86A08"/>
    <w:rsid w:val="00B87636"/>
    <w:rsid w:val="00BA25B3"/>
    <w:rsid w:val="00BA435C"/>
    <w:rsid w:val="00BA687D"/>
    <w:rsid w:val="00BA75C9"/>
    <w:rsid w:val="00BA7EA3"/>
    <w:rsid w:val="00BB11BD"/>
    <w:rsid w:val="00BB224F"/>
    <w:rsid w:val="00BB2878"/>
    <w:rsid w:val="00BB4038"/>
    <w:rsid w:val="00BB6BC6"/>
    <w:rsid w:val="00BB74FD"/>
    <w:rsid w:val="00BD3DFE"/>
    <w:rsid w:val="00BD4EAC"/>
    <w:rsid w:val="00BD60AD"/>
    <w:rsid w:val="00BF194B"/>
    <w:rsid w:val="00BF1EDC"/>
    <w:rsid w:val="00BF46E0"/>
    <w:rsid w:val="00BF7479"/>
    <w:rsid w:val="00C12D5C"/>
    <w:rsid w:val="00C25935"/>
    <w:rsid w:val="00C321CE"/>
    <w:rsid w:val="00C33B8F"/>
    <w:rsid w:val="00C3491C"/>
    <w:rsid w:val="00C37010"/>
    <w:rsid w:val="00C4622E"/>
    <w:rsid w:val="00C63AA8"/>
    <w:rsid w:val="00C672F8"/>
    <w:rsid w:val="00C70B4E"/>
    <w:rsid w:val="00C74D33"/>
    <w:rsid w:val="00C76041"/>
    <w:rsid w:val="00C76366"/>
    <w:rsid w:val="00C7739A"/>
    <w:rsid w:val="00C80775"/>
    <w:rsid w:val="00C80F5E"/>
    <w:rsid w:val="00C81ED2"/>
    <w:rsid w:val="00C8384E"/>
    <w:rsid w:val="00C8448B"/>
    <w:rsid w:val="00C86CFF"/>
    <w:rsid w:val="00C960CC"/>
    <w:rsid w:val="00C967EA"/>
    <w:rsid w:val="00CA24FA"/>
    <w:rsid w:val="00CA4BB9"/>
    <w:rsid w:val="00CB3F5F"/>
    <w:rsid w:val="00CC00CC"/>
    <w:rsid w:val="00CC15CB"/>
    <w:rsid w:val="00CC212F"/>
    <w:rsid w:val="00CC7F71"/>
    <w:rsid w:val="00CD00AC"/>
    <w:rsid w:val="00CD7CD9"/>
    <w:rsid w:val="00CE255C"/>
    <w:rsid w:val="00CE304D"/>
    <w:rsid w:val="00CE5314"/>
    <w:rsid w:val="00CE6496"/>
    <w:rsid w:val="00CE7146"/>
    <w:rsid w:val="00D00220"/>
    <w:rsid w:val="00D015F6"/>
    <w:rsid w:val="00D01D87"/>
    <w:rsid w:val="00D1360A"/>
    <w:rsid w:val="00D13F47"/>
    <w:rsid w:val="00D14011"/>
    <w:rsid w:val="00D17777"/>
    <w:rsid w:val="00D2560C"/>
    <w:rsid w:val="00D26F83"/>
    <w:rsid w:val="00D27339"/>
    <w:rsid w:val="00D31663"/>
    <w:rsid w:val="00D4695F"/>
    <w:rsid w:val="00D46C7A"/>
    <w:rsid w:val="00D50A88"/>
    <w:rsid w:val="00D566BB"/>
    <w:rsid w:val="00D56C1E"/>
    <w:rsid w:val="00D62E61"/>
    <w:rsid w:val="00D63274"/>
    <w:rsid w:val="00D761C5"/>
    <w:rsid w:val="00D91515"/>
    <w:rsid w:val="00D964DC"/>
    <w:rsid w:val="00DA1733"/>
    <w:rsid w:val="00DA401F"/>
    <w:rsid w:val="00DB0946"/>
    <w:rsid w:val="00DB0C3B"/>
    <w:rsid w:val="00DB71B4"/>
    <w:rsid w:val="00DB7D67"/>
    <w:rsid w:val="00DC2C18"/>
    <w:rsid w:val="00DC4D18"/>
    <w:rsid w:val="00DC4DB3"/>
    <w:rsid w:val="00DC7F89"/>
    <w:rsid w:val="00DD01E4"/>
    <w:rsid w:val="00DD3DEF"/>
    <w:rsid w:val="00DE14BC"/>
    <w:rsid w:val="00DE1712"/>
    <w:rsid w:val="00DE2030"/>
    <w:rsid w:val="00DE430C"/>
    <w:rsid w:val="00DE4457"/>
    <w:rsid w:val="00DE4629"/>
    <w:rsid w:val="00DE6EB8"/>
    <w:rsid w:val="00DF5DD0"/>
    <w:rsid w:val="00E04B00"/>
    <w:rsid w:val="00E076EB"/>
    <w:rsid w:val="00E10070"/>
    <w:rsid w:val="00E10334"/>
    <w:rsid w:val="00E1279B"/>
    <w:rsid w:val="00E13431"/>
    <w:rsid w:val="00E20047"/>
    <w:rsid w:val="00E2738D"/>
    <w:rsid w:val="00E30B02"/>
    <w:rsid w:val="00E31EF6"/>
    <w:rsid w:val="00E3236E"/>
    <w:rsid w:val="00E32B70"/>
    <w:rsid w:val="00E34474"/>
    <w:rsid w:val="00E50522"/>
    <w:rsid w:val="00E510CD"/>
    <w:rsid w:val="00E539BC"/>
    <w:rsid w:val="00E53E09"/>
    <w:rsid w:val="00E5649B"/>
    <w:rsid w:val="00E63B46"/>
    <w:rsid w:val="00E64743"/>
    <w:rsid w:val="00E741BE"/>
    <w:rsid w:val="00E76193"/>
    <w:rsid w:val="00E86E95"/>
    <w:rsid w:val="00E87959"/>
    <w:rsid w:val="00E903A7"/>
    <w:rsid w:val="00E94213"/>
    <w:rsid w:val="00EA1ACC"/>
    <w:rsid w:val="00EA4B65"/>
    <w:rsid w:val="00EA517C"/>
    <w:rsid w:val="00EB7C2F"/>
    <w:rsid w:val="00EC0ABA"/>
    <w:rsid w:val="00EC2FC5"/>
    <w:rsid w:val="00EC4C42"/>
    <w:rsid w:val="00EC5954"/>
    <w:rsid w:val="00ED2435"/>
    <w:rsid w:val="00ED4B41"/>
    <w:rsid w:val="00ED5055"/>
    <w:rsid w:val="00EE17F2"/>
    <w:rsid w:val="00EE3F2C"/>
    <w:rsid w:val="00EE5211"/>
    <w:rsid w:val="00EE5DBF"/>
    <w:rsid w:val="00EE72C8"/>
    <w:rsid w:val="00F16C5D"/>
    <w:rsid w:val="00F16F4F"/>
    <w:rsid w:val="00F17D72"/>
    <w:rsid w:val="00F24E3F"/>
    <w:rsid w:val="00F2523C"/>
    <w:rsid w:val="00F27A85"/>
    <w:rsid w:val="00F33795"/>
    <w:rsid w:val="00F33F6A"/>
    <w:rsid w:val="00F33FBE"/>
    <w:rsid w:val="00F348E7"/>
    <w:rsid w:val="00F40FF2"/>
    <w:rsid w:val="00F4356F"/>
    <w:rsid w:val="00F43CC6"/>
    <w:rsid w:val="00F47D80"/>
    <w:rsid w:val="00F514C0"/>
    <w:rsid w:val="00F52A09"/>
    <w:rsid w:val="00F5488C"/>
    <w:rsid w:val="00F600D3"/>
    <w:rsid w:val="00F61012"/>
    <w:rsid w:val="00F62B2A"/>
    <w:rsid w:val="00F63888"/>
    <w:rsid w:val="00F64B46"/>
    <w:rsid w:val="00F65081"/>
    <w:rsid w:val="00F651D7"/>
    <w:rsid w:val="00F6529D"/>
    <w:rsid w:val="00F67C86"/>
    <w:rsid w:val="00F81CCA"/>
    <w:rsid w:val="00F83E26"/>
    <w:rsid w:val="00F86380"/>
    <w:rsid w:val="00F86545"/>
    <w:rsid w:val="00F868B2"/>
    <w:rsid w:val="00F86BE5"/>
    <w:rsid w:val="00F87304"/>
    <w:rsid w:val="00F90E7D"/>
    <w:rsid w:val="00F92190"/>
    <w:rsid w:val="00F94FA2"/>
    <w:rsid w:val="00F97448"/>
    <w:rsid w:val="00FA11A8"/>
    <w:rsid w:val="00FA697F"/>
    <w:rsid w:val="00FB15CC"/>
    <w:rsid w:val="00FB474E"/>
    <w:rsid w:val="00FC48CF"/>
    <w:rsid w:val="00FD4094"/>
    <w:rsid w:val="00FD4788"/>
    <w:rsid w:val="00FE18AB"/>
    <w:rsid w:val="00FE24DB"/>
    <w:rsid w:val="00FE67B1"/>
    <w:rsid w:val="00FF1CDC"/>
    <w:rsid w:val="00FF5F5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id-ID"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9"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sz w:val="28"/>
      <w:szCs w:val="20"/>
    </w:rPr>
  </w:style>
  <w:style w:type="paragraph" w:styleId="Heading2">
    <w:name w:val="heading 2"/>
    <w:basedOn w:val="Normal"/>
    <w:next w:val="Normal"/>
    <w:qFormat/>
    <w:pPr>
      <w:keepNext/>
      <w:jc w:val="both"/>
      <w:outlineLvl w:val="1"/>
    </w:pPr>
    <w:rPr>
      <w:szCs w:val="20"/>
    </w:rPr>
  </w:style>
  <w:style w:type="paragraph" w:styleId="Heading3">
    <w:name w:val="heading 3"/>
    <w:basedOn w:val="Normal"/>
    <w:next w:val="Normal"/>
    <w:qFormat/>
    <w:pPr>
      <w:keepNext/>
      <w:jc w:val="center"/>
      <w:outlineLvl w:val="2"/>
    </w:pPr>
    <w:rPr>
      <w:sz w:val="28"/>
      <w:szCs w:val="20"/>
    </w:rPr>
  </w:style>
  <w:style w:type="paragraph" w:styleId="Heading4">
    <w:name w:val="heading 4"/>
    <w:basedOn w:val="Normal"/>
    <w:next w:val="Normal"/>
    <w:uiPriority w:val="99"/>
    <w:qFormat/>
    <w:pPr>
      <w:keepNext/>
      <w:jc w:val="center"/>
      <w:outlineLvl w:val="3"/>
    </w:pPr>
    <w:rPr>
      <w:rFonts w:ascii="Arial" w:hAnsi="Arial" w:cs="Arial"/>
      <w:b/>
      <w:bCs/>
      <w:snapToGrid w:val="0"/>
    </w:rPr>
  </w:style>
  <w:style w:type="paragraph" w:styleId="Heading5">
    <w:name w:val="heading 5"/>
    <w:basedOn w:val="Normal"/>
    <w:next w:val="Normal"/>
    <w:qFormat/>
    <w:pPr>
      <w:keepNext/>
      <w:ind w:left="3600"/>
      <w:jc w:val="center"/>
      <w:outlineLvl w:val="4"/>
    </w:pPr>
    <w:rPr>
      <w:rFonts w:ascii="Arial" w:eastAsia="Arial Unicode MS" w:hAnsi="Arial" w:cs="Arial"/>
      <w:b/>
      <w:bCs/>
    </w:rPr>
  </w:style>
  <w:style w:type="paragraph" w:styleId="Heading6">
    <w:name w:val="heading 6"/>
    <w:basedOn w:val="Normal"/>
    <w:next w:val="Normal"/>
    <w:qFormat/>
    <w:pPr>
      <w:keepNext/>
      <w:ind w:left="3600"/>
      <w:jc w:val="center"/>
      <w:outlineLvl w:val="5"/>
    </w:pPr>
    <w:rPr>
      <w:rFonts w:ascii="Arial" w:eastAsia="Arial Unicode MS"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8"/>
      <w:szCs w:val="20"/>
    </w:rPr>
  </w:style>
  <w:style w:type="paragraph" w:styleId="BodyTextIndent3">
    <w:name w:val="Body Text Indent 3"/>
    <w:basedOn w:val="Normal"/>
    <w:pPr>
      <w:tabs>
        <w:tab w:val="left" w:pos="2610"/>
      </w:tabs>
      <w:spacing w:line="360" w:lineRule="auto"/>
      <w:ind w:left="2610" w:hanging="2700"/>
      <w:jc w:val="both"/>
    </w:pPr>
    <w:rPr>
      <w:szCs w:val="20"/>
    </w:rPr>
  </w:style>
  <w:style w:type="paragraph" w:styleId="BodyTextIndent">
    <w:name w:val="Body Text Indent"/>
    <w:basedOn w:val="Normal"/>
    <w:pPr>
      <w:tabs>
        <w:tab w:val="left" w:pos="2610"/>
      </w:tabs>
      <w:ind w:left="2610" w:hanging="270"/>
      <w:jc w:val="both"/>
    </w:pPr>
    <w:rPr>
      <w:rFonts w:ascii="Arial" w:hAnsi="Arial"/>
      <w:szCs w:val="20"/>
    </w:rPr>
  </w:style>
  <w:style w:type="paragraph" w:styleId="BodyTextIndent2">
    <w:name w:val="Body Text Indent 2"/>
    <w:basedOn w:val="Normal"/>
    <w:pPr>
      <w:tabs>
        <w:tab w:val="left" w:pos="2610"/>
      </w:tabs>
      <w:ind w:left="2610" w:hanging="2610"/>
      <w:jc w:val="both"/>
    </w:pPr>
    <w:rPr>
      <w:rFonts w:ascii="Arial" w:hAnsi="Arial"/>
      <w:szCs w:val="20"/>
    </w:rPr>
  </w:style>
  <w:style w:type="character" w:styleId="PageNumber">
    <w:name w:val="page number"/>
    <w:basedOn w:val="DefaultParagraphFont"/>
  </w:style>
  <w:style w:type="paragraph" w:styleId="Header">
    <w:name w:val="header"/>
    <w:basedOn w:val="Normal"/>
    <w:pPr>
      <w:tabs>
        <w:tab w:val="center" w:pos="4320"/>
        <w:tab w:val="right" w:pos="8640"/>
      </w:tabs>
    </w:pPr>
    <w:rPr>
      <w:sz w:val="20"/>
      <w:szCs w:val="20"/>
    </w:rPr>
  </w:style>
  <w:style w:type="paragraph" w:styleId="BodyText3">
    <w:name w:val="Body Text 3"/>
    <w:basedOn w:val="Normal"/>
    <w:pPr>
      <w:jc w:val="center"/>
    </w:pPr>
    <w:rPr>
      <w:rFonts w:ascii="Arial" w:hAnsi="Arial" w:cs="Arial"/>
      <w:sz w:val="22"/>
    </w:rPr>
  </w:style>
  <w:style w:type="paragraph" w:styleId="BodyText">
    <w:name w:val="Body Text"/>
    <w:basedOn w:val="Normal"/>
    <w:pPr>
      <w:jc w:val="center"/>
    </w:pPr>
    <w:rPr>
      <w:rFonts w:ascii="Arial" w:hAnsi="Arial" w:cs="Arial"/>
    </w:rPr>
  </w:style>
  <w:style w:type="paragraph" w:styleId="BodyText2">
    <w:name w:val="Body Text 2"/>
    <w:basedOn w:val="Normal"/>
    <w:pPr>
      <w:jc w:val="center"/>
    </w:pPr>
    <w:rPr>
      <w:sz w:val="20"/>
    </w:rPr>
  </w:style>
  <w:style w:type="paragraph" w:styleId="Footer">
    <w:name w:val="footer"/>
    <w:basedOn w:val="Normal"/>
    <w:pPr>
      <w:tabs>
        <w:tab w:val="center" w:pos="4320"/>
        <w:tab w:val="right" w:pos="8640"/>
      </w:tabs>
    </w:pPr>
  </w:style>
  <w:style w:type="paragraph" w:styleId="Subtitle">
    <w:name w:val="Subtitle"/>
    <w:basedOn w:val="Normal"/>
    <w:qFormat/>
    <w:pPr>
      <w:spacing w:line="360" w:lineRule="auto"/>
      <w:jc w:val="center"/>
    </w:pPr>
    <w:rPr>
      <w:b/>
      <w:szCs w:val="20"/>
    </w:rPr>
  </w:style>
  <w:style w:type="table" w:styleId="TableGrid">
    <w:name w:val="Table Grid"/>
    <w:basedOn w:val="TableNormal"/>
    <w:rsid w:val="00D26F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nhideWhenUsed/>
    <w:rsid w:val="00B26F55"/>
    <w:rPr>
      <w:color w:val="0000FF"/>
      <w:u w:val="single"/>
    </w:rPr>
  </w:style>
  <w:style w:type="paragraph" w:styleId="ListParagraph">
    <w:name w:val="List Paragraph"/>
    <w:aliases w:val="Tabel,kepala,Dot pt,F5 List Paragraph,List Paragraph Char Char Char,Indicator Text,Numbered Para 1,Bullet 1,List Paragraph12,Bullet Points,MAIN CONTENT,Normal ind,point-point,List Paragraph1,Recommendation,No Spacing1,List Paragraph11,cob"/>
    <w:basedOn w:val="Normal"/>
    <w:link w:val="ListParagraphChar"/>
    <w:uiPriority w:val="34"/>
    <w:qFormat/>
    <w:rsid w:val="008D6085"/>
    <w:pPr>
      <w:ind w:left="720"/>
      <w:contextualSpacing/>
    </w:pPr>
    <w:rPr>
      <w:sz w:val="20"/>
      <w:szCs w:val="20"/>
    </w:rPr>
  </w:style>
  <w:style w:type="character" w:styleId="Strong">
    <w:name w:val="Strong"/>
    <w:uiPriority w:val="22"/>
    <w:qFormat/>
    <w:rsid w:val="00552001"/>
    <w:rPr>
      <w:b/>
      <w:bCs/>
    </w:rPr>
  </w:style>
  <w:style w:type="paragraph" w:styleId="BalloonText">
    <w:name w:val="Balloon Text"/>
    <w:basedOn w:val="Normal"/>
    <w:link w:val="BalloonTextChar"/>
    <w:rsid w:val="004D6200"/>
    <w:rPr>
      <w:rFonts w:ascii="Tahoma" w:hAnsi="Tahoma" w:cs="Tahoma"/>
      <w:sz w:val="16"/>
      <w:szCs w:val="16"/>
    </w:rPr>
  </w:style>
  <w:style w:type="character" w:customStyle="1" w:styleId="BalloonTextChar">
    <w:name w:val="Balloon Text Char"/>
    <w:link w:val="BalloonText"/>
    <w:rsid w:val="004D6200"/>
    <w:rPr>
      <w:rFonts w:ascii="Tahoma" w:hAnsi="Tahoma" w:cs="Tahoma"/>
      <w:sz w:val="16"/>
      <w:szCs w:val="16"/>
      <w:lang w:val="en-US" w:eastAsia="en-US"/>
    </w:rPr>
  </w:style>
  <w:style w:type="character" w:customStyle="1" w:styleId="ListParagraphChar">
    <w:name w:val="List Paragraph Char"/>
    <w:aliases w:val="Tabel Char,kepala Char,Dot pt Char,F5 List Paragraph Char,List Paragraph Char Char Char Char,Indicator Text Char,Numbered Para 1 Char,Bullet 1 Char,List Paragraph12 Char,Bullet Points Char,MAIN CONTENT Char,Normal ind Char,cob Char"/>
    <w:link w:val="ListParagraph"/>
    <w:uiPriority w:val="34"/>
    <w:qFormat/>
    <w:locked/>
    <w:rsid w:val="00BD60AD"/>
    <w:rPr>
      <w:lang w:val="en-US" w:eastAsia="en-US"/>
    </w:rPr>
  </w:style>
  <w:style w:type="paragraph" w:styleId="NoSpacing">
    <w:name w:val="No Spacing"/>
    <w:uiPriority w:val="1"/>
    <w:qFormat/>
    <w:rsid w:val="005D0903"/>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id-ID"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9"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sz w:val="28"/>
      <w:szCs w:val="20"/>
    </w:rPr>
  </w:style>
  <w:style w:type="paragraph" w:styleId="Heading2">
    <w:name w:val="heading 2"/>
    <w:basedOn w:val="Normal"/>
    <w:next w:val="Normal"/>
    <w:qFormat/>
    <w:pPr>
      <w:keepNext/>
      <w:jc w:val="both"/>
      <w:outlineLvl w:val="1"/>
    </w:pPr>
    <w:rPr>
      <w:szCs w:val="20"/>
    </w:rPr>
  </w:style>
  <w:style w:type="paragraph" w:styleId="Heading3">
    <w:name w:val="heading 3"/>
    <w:basedOn w:val="Normal"/>
    <w:next w:val="Normal"/>
    <w:qFormat/>
    <w:pPr>
      <w:keepNext/>
      <w:jc w:val="center"/>
      <w:outlineLvl w:val="2"/>
    </w:pPr>
    <w:rPr>
      <w:sz w:val="28"/>
      <w:szCs w:val="20"/>
    </w:rPr>
  </w:style>
  <w:style w:type="paragraph" w:styleId="Heading4">
    <w:name w:val="heading 4"/>
    <w:basedOn w:val="Normal"/>
    <w:next w:val="Normal"/>
    <w:uiPriority w:val="99"/>
    <w:qFormat/>
    <w:pPr>
      <w:keepNext/>
      <w:jc w:val="center"/>
      <w:outlineLvl w:val="3"/>
    </w:pPr>
    <w:rPr>
      <w:rFonts w:ascii="Arial" w:hAnsi="Arial" w:cs="Arial"/>
      <w:b/>
      <w:bCs/>
      <w:snapToGrid w:val="0"/>
    </w:rPr>
  </w:style>
  <w:style w:type="paragraph" w:styleId="Heading5">
    <w:name w:val="heading 5"/>
    <w:basedOn w:val="Normal"/>
    <w:next w:val="Normal"/>
    <w:qFormat/>
    <w:pPr>
      <w:keepNext/>
      <w:ind w:left="3600"/>
      <w:jc w:val="center"/>
      <w:outlineLvl w:val="4"/>
    </w:pPr>
    <w:rPr>
      <w:rFonts w:ascii="Arial" w:eastAsia="Arial Unicode MS" w:hAnsi="Arial" w:cs="Arial"/>
      <w:b/>
      <w:bCs/>
    </w:rPr>
  </w:style>
  <w:style w:type="paragraph" w:styleId="Heading6">
    <w:name w:val="heading 6"/>
    <w:basedOn w:val="Normal"/>
    <w:next w:val="Normal"/>
    <w:qFormat/>
    <w:pPr>
      <w:keepNext/>
      <w:ind w:left="3600"/>
      <w:jc w:val="center"/>
      <w:outlineLvl w:val="5"/>
    </w:pPr>
    <w:rPr>
      <w:rFonts w:ascii="Arial" w:eastAsia="Arial Unicode MS"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8"/>
      <w:szCs w:val="20"/>
    </w:rPr>
  </w:style>
  <w:style w:type="paragraph" w:styleId="BodyTextIndent3">
    <w:name w:val="Body Text Indent 3"/>
    <w:basedOn w:val="Normal"/>
    <w:pPr>
      <w:tabs>
        <w:tab w:val="left" w:pos="2610"/>
      </w:tabs>
      <w:spacing w:line="360" w:lineRule="auto"/>
      <w:ind w:left="2610" w:hanging="2700"/>
      <w:jc w:val="both"/>
    </w:pPr>
    <w:rPr>
      <w:szCs w:val="20"/>
    </w:rPr>
  </w:style>
  <w:style w:type="paragraph" w:styleId="BodyTextIndent">
    <w:name w:val="Body Text Indent"/>
    <w:basedOn w:val="Normal"/>
    <w:pPr>
      <w:tabs>
        <w:tab w:val="left" w:pos="2610"/>
      </w:tabs>
      <w:ind w:left="2610" w:hanging="270"/>
      <w:jc w:val="both"/>
    </w:pPr>
    <w:rPr>
      <w:rFonts w:ascii="Arial" w:hAnsi="Arial"/>
      <w:szCs w:val="20"/>
    </w:rPr>
  </w:style>
  <w:style w:type="paragraph" w:styleId="BodyTextIndent2">
    <w:name w:val="Body Text Indent 2"/>
    <w:basedOn w:val="Normal"/>
    <w:pPr>
      <w:tabs>
        <w:tab w:val="left" w:pos="2610"/>
      </w:tabs>
      <w:ind w:left="2610" w:hanging="2610"/>
      <w:jc w:val="both"/>
    </w:pPr>
    <w:rPr>
      <w:rFonts w:ascii="Arial" w:hAnsi="Arial"/>
      <w:szCs w:val="20"/>
    </w:rPr>
  </w:style>
  <w:style w:type="character" w:styleId="PageNumber">
    <w:name w:val="page number"/>
    <w:basedOn w:val="DefaultParagraphFont"/>
  </w:style>
  <w:style w:type="paragraph" w:styleId="Header">
    <w:name w:val="header"/>
    <w:basedOn w:val="Normal"/>
    <w:pPr>
      <w:tabs>
        <w:tab w:val="center" w:pos="4320"/>
        <w:tab w:val="right" w:pos="8640"/>
      </w:tabs>
    </w:pPr>
    <w:rPr>
      <w:sz w:val="20"/>
      <w:szCs w:val="20"/>
    </w:rPr>
  </w:style>
  <w:style w:type="paragraph" w:styleId="BodyText3">
    <w:name w:val="Body Text 3"/>
    <w:basedOn w:val="Normal"/>
    <w:pPr>
      <w:jc w:val="center"/>
    </w:pPr>
    <w:rPr>
      <w:rFonts w:ascii="Arial" w:hAnsi="Arial" w:cs="Arial"/>
      <w:sz w:val="22"/>
    </w:rPr>
  </w:style>
  <w:style w:type="paragraph" w:styleId="BodyText">
    <w:name w:val="Body Text"/>
    <w:basedOn w:val="Normal"/>
    <w:pPr>
      <w:jc w:val="center"/>
    </w:pPr>
    <w:rPr>
      <w:rFonts w:ascii="Arial" w:hAnsi="Arial" w:cs="Arial"/>
    </w:rPr>
  </w:style>
  <w:style w:type="paragraph" w:styleId="BodyText2">
    <w:name w:val="Body Text 2"/>
    <w:basedOn w:val="Normal"/>
    <w:pPr>
      <w:jc w:val="center"/>
    </w:pPr>
    <w:rPr>
      <w:sz w:val="20"/>
    </w:rPr>
  </w:style>
  <w:style w:type="paragraph" w:styleId="Footer">
    <w:name w:val="footer"/>
    <w:basedOn w:val="Normal"/>
    <w:pPr>
      <w:tabs>
        <w:tab w:val="center" w:pos="4320"/>
        <w:tab w:val="right" w:pos="8640"/>
      </w:tabs>
    </w:pPr>
  </w:style>
  <w:style w:type="paragraph" w:styleId="Subtitle">
    <w:name w:val="Subtitle"/>
    <w:basedOn w:val="Normal"/>
    <w:qFormat/>
    <w:pPr>
      <w:spacing w:line="360" w:lineRule="auto"/>
      <w:jc w:val="center"/>
    </w:pPr>
    <w:rPr>
      <w:b/>
      <w:szCs w:val="20"/>
    </w:rPr>
  </w:style>
  <w:style w:type="table" w:styleId="TableGrid">
    <w:name w:val="Table Grid"/>
    <w:basedOn w:val="TableNormal"/>
    <w:rsid w:val="00D26F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nhideWhenUsed/>
    <w:rsid w:val="00B26F55"/>
    <w:rPr>
      <w:color w:val="0000FF"/>
      <w:u w:val="single"/>
    </w:rPr>
  </w:style>
  <w:style w:type="paragraph" w:styleId="ListParagraph">
    <w:name w:val="List Paragraph"/>
    <w:aliases w:val="Tabel,kepala,Dot pt,F5 List Paragraph,List Paragraph Char Char Char,Indicator Text,Numbered Para 1,Bullet 1,List Paragraph12,Bullet Points,MAIN CONTENT,Normal ind,point-point,List Paragraph1,Recommendation,No Spacing1,List Paragraph11,cob"/>
    <w:basedOn w:val="Normal"/>
    <w:link w:val="ListParagraphChar"/>
    <w:uiPriority w:val="34"/>
    <w:qFormat/>
    <w:rsid w:val="008D6085"/>
    <w:pPr>
      <w:ind w:left="720"/>
      <w:contextualSpacing/>
    </w:pPr>
    <w:rPr>
      <w:sz w:val="20"/>
      <w:szCs w:val="20"/>
    </w:rPr>
  </w:style>
  <w:style w:type="character" w:styleId="Strong">
    <w:name w:val="Strong"/>
    <w:uiPriority w:val="22"/>
    <w:qFormat/>
    <w:rsid w:val="00552001"/>
    <w:rPr>
      <w:b/>
      <w:bCs/>
    </w:rPr>
  </w:style>
  <w:style w:type="paragraph" w:styleId="BalloonText">
    <w:name w:val="Balloon Text"/>
    <w:basedOn w:val="Normal"/>
    <w:link w:val="BalloonTextChar"/>
    <w:rsid w:val="004D6200"/>
    <w:rPr>
      <w:rFonts w:ascii="Tahoma" w:hAnsi="Tahoma" w:cs="Tahoma"/>
      <w:sz w:val="16"/>
      <w:szCs w:val="16"/>
    </w:rPr>
  </w:style>
  <w:style w:type="character" w:customStyle="1" w:styleId="BalloonTextChar">
    <w:name w:val="Balloon Text Char"/>
    <w:link w:val="BalloonText"/>
    <w:rsid w:val="004D6200"/>
    <w:rPr>
      <w:rFonts w:ascii="Tahoma" w:hAnsi="Tahoma" w:cs="Tahoma"/>
      <w:sz w:val="16"/>
      <w:szCs w:val="16"/>
      <w:lang w:val="en-US" w:eastAsia="en-US"/>
    </w:rPr>
  </w:style>
  <w:style w:type="character" w:customStyle="1" w:styleId="ListParagraphChar">
    <w:name w:val="List Paragraph Char"/>
    <w:aliases w:val="Tabel Char,kepala Char,Dot pt Char,F5 List Paragraph Char,List Paragraph Char Char Char Char,Indicator Text Char,Numbered Para 1 Char,Bullet 1 Char,List Paragraph12 Char,Bullet Points Char,MAIN CONTENT Char,Normal ind Char,cob Char"/>
    <w:link w:val="ListParagraph"/>
    <w:uiPriority w:val="34"/>
    <w:qFormat/>
    <w:locked/>
    <w:rsid w:val="00BD60AD"/>
    <w:rPr>
      <w:lang w:val="en-US" w:eastAsia="en-US"/>
    </w:rPr>
  </w:style>
  <w:style w:type="paragraph" w:styleId="NoSpacing">
    <w:name w:val="No Spacing"/>
    <w:uiPriority w:val="1"/>
    <w:qFormat/>
    <w:rsid w:val="005D0903"/>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22476">
      <w:bodyDiv w:val="1"/>
      <w:marLeft w:val="0"/>
      <w:marRight w:val="0"/>
      <w:marTop w:val="0"/>
      <w:marBottom w:val="0"/>
      <w:divBdr>
        <w:top w:val="none" w:sz="0" w:space="0" w:color="auto"/>
        <w:left w:val="none" w:sz="0" w:space="0" w:color="auto"/>
        <w:bottom w:val="none" w:sz="0" w:space="0" w:color="auto"/>
        <w:right w:val="none" w:sz="0" w:space="0" w:color="auto"/>
      </w:divBdr>
    </w:div>
    <w:div w:id="127600536">
      <w:bodyDiv w:val="1"/>
      <w:marLeft w:val="0"/>
      <w:marRight w:val="0"/>
      <w:marTop w:val="0"/>
      <w:marBottom w:val="0"/>
      <w:divBdr>
        <w:top w:val="none" w:sz="0" w:space="0" w:color="auto"/>
        <w:left w:val="none" w:sz="0" w:space="0" w:color="auto"/>
        <w:bottom w:val="none" w:sz="0" w:space="0" w:color="auto"/>
        <w:right w:val="none" w:sz="0" w:space="0" w:color="auto"/>
      </w:divBdr>
    </w:div>
    <w:div w:id="231084234">
      <w:bodyDiv w:val="1"/>
      <w:marLeft w:val="0"/>
      <w:marRight w:val="0"/>
      <w:marTop w:val="0"/>
      <w:marBottom w:val="0"/>
      <w:divBdr>
        <w:top w:val="none" w:sz="0" w:space="0" w:color="auto"/>
        <w:left w:val="none" w:sz="0" w:space="0" w:color="auto"/>
        <w:bottom w:val="none" w:sz="0" w:space="0" w:color="auto"/>
        <w:right w:val="none" w:sz="0" w:space="0" w:color="auto"/>
      </w:divBdr>
    </w:div>
    <w:div w:id="236089039">
      <w:bodyDiv w:val="1"/>
      <w:marLeft w:val="0"/>
      <w:marRight w:val="0"/>
      <w:marTop w:val="0"/>
      <w:marBottom w:val="0"/>
      <w:divBdr>
        <w:top w:val="none" w:sz="0" w:space="0" w:color="auto"/>
        <w:left w:val="none" w:sz="0" w:space="0" w:color="auto"/>
        <w:bottom w:val="none" w:sz="0" w:space="0" w:color="auto"/>
        <w:right w:val="none" w:sz="0" w:space="0" w:color="auto"/>
      </w:divBdr>
    </w:div>
    <w:div w:id="277882548">
      <w:bodyDiv w:val="1"/>
      <w:marLeft w:val="0"/>
      <w:marRight w:val="0"/>
      <w:marTop w:val="0"/>
      <w:marBottom w:val="0"/>
      <w:divBdr>
        <w:top w:val="none" w:sz="0" w:space="0" w:color="auto"/>
        <w:left w:val="none" w:sz="0" w:space="0" w:color="auto"/>
        <w:bottom w:val="none" w:sz="0" w:space="0" w:color="auto"/>
        <w:right w:val="none" w:sz="0" w:space="0" w:color="auto"/>
      </w:divBdr>
    </w:div>
    <w:div w:id="337930007">
      <w:bodyDiv w:val="1"/>
      <w:marLeft w:val="0"/>
      <w:marRight w:val="0"/>
      <w:marTop w:val="0"/>
      <w:marBottom w:val="0"/>
      <w:divBdr>
        <w:top w:val="none" w:sz="0" w:space="0" w:color="auto"/>
        <w:left w:val="none" w:sz="0" w:space="0" w:color="auto"/>
        <w:bottom w:val="none" w:sz="0" w:space="0" w:color="auto"/>
        <w:right w:val="none" w:sz="0" w:space="0" w:color="auto"/>
      </w:divBdr>
    </w:div>
    <w:div w:id="462626100">
      <w:bodyDiv w:val="1"/>
      <w:marLeft w:val="0"/>
      <w:marRight w:val="0"/>
      <w:marTop w:val="0"/>
      <w:marBottom w:val="0"/>
      <w:divBdr>
        <w:top w:val="none" w:sz="0" w:space="0" w:color="auto"/>
        <w:left w:val="none" w:sz="0" w:space="0" w:color="auto"/>
        <w:bottom w:val="none" w:sz="0" w:space="0" w:color="auto"/>
        <w:right w:val="none" w:sz="0" w:space="0" w:color="auto"/>
      </w:divBdr>
    </w:div>
    <w:div w:id="482241416">
      <w:bodyDiv w:val="1"/>
      <w:marLeft w:val="0"/>
      <w:marRight w:val="0"/>
      <w:marTop w:val="0"/>
      <w:marBottom w:val="0"/>
      <w:divBdr>
        <w:top w:val="none" w:sz="0" w:space="0" w:color="auto"/>
        <w:left w:val="none" w:sz="0" w:space="0" w:color="auto"/>
        <w:bottom w:val="none" w:sz="0" w:space="0" w:color="auto"/>
        <w:right w:val="none" w:sz="0" w:space="0" w:color="auto"/>
      </w:divBdr>
    </w:div>
    <w:div w:id="494535244">
      <w:bodyDiv w:val="1"/>
      <w:marLeft w:val="0"/>
      <w:marRight w:val="0"/>
      <w:marTop w:val="0"/>
      <w:marBottom w:val="0"/>
      <w:divBdr>
        <w:top w:val="none" w:sz="0" w:space="0" w:color="auto"/>
        <w:left w:val="none" w:sz="0" w:space="0" w:color="auto"/>
        <w:bottom w:val="none" w:sz="0" w:space="0" w:color="auto"/>
        <w:right w:val="none" w:sz="0" w:space="0" w:color="auto"/>
      </w:divBdr>
    </w:div>
    <w:div w:id="584581251">
      <w:bodyDiv w:val="1"/>
      <w:marLeft w:val="0"/>
      <w:marRight w:val="0"/>
      <w:marTop w:val="0"/>
      <w:marBottom w:val="0"/>
      <w:divBdr>
        <w:top w:val="none" w:sz="0" w:space="0" w:color="auto"/>
        <w:left w:val="none" w:sz="0" w:space="0" w:color="auto"/>
        <w:bottom w:val="none" w:sz="0" w:space="0" w:color="auto"/>
        <w:right w:val="none" w:sz="0" w:space="0" w:color="auto"/>
      </w:divBdr>
    </w:div>
    <w:div w:id="599681154">
      <w:bodyDiv w:val="1"/>
      <w:marLeft w:val="0"/>
      <w:marRight w:val="0"/>
      <w:marTop w:val="0"/>
      <w:marBottom w:val="0"/>
      <w:divBdr>
        <w:top w:val="none" w:sz="0" w:space="0" w:color="auto"/>
        <w:left w:val="none" w:sz="0" w:space="0" w:color="auto"/>
        <w:bottom w:val="none" w:sz="0" w:space="0" w:color="auto"/>
        <w:right w:val="none" w:sz="0" w:space="0" w:color="auto"/>
      </w:divBdr>
    </w:div>
    <w:div w:id="624039951">
      <w:bodyDiv w:val="1"/>
      <w:marLeft w:val="0"/>
      <w:marRight w:val="0"/>
      <w:marTop w:val="0"/>
      <w:marBottom w:val="0"/>
      <w:divBdr>
        <w:top w:val="none" w:sz="0" w:space="0" w:color="auto"/>
        <w:left w:val="none" w:sz="0" w:space="0" w:color="auto"/>
        <w:bottom w:val="none" w:sz="0" w:space="0" w:color="auto"/>
        <w:right w:val="none" w:sz="0" w:space="0" w:color="auto"/>
      </w:divBdr>
    </w:div>
    <w:div w:id="658996616">
      <w:bodyDiv w:val="1"/>
      <w:marLeft w:val="0"/>
      <w:marRight w:val="0"/>
      <w:marTop w:val="0"/>
      <w:marBottom w:val="0"/>
      <w:divBdr>
        <w:top w:val="none" w:sz="0" w:space="0" w:color="auto"/>
        <w:left w:val="none" w:sz="0" w:space="0" w:color="auto"/>
        <w:bottom w:val="none" w:sz="0" w:space="0" w:color="auto"/>
        <w:right w:val="none" w:sz="0" w:space="0" w:color="auto"/>
      </w:divBdr>
    </w:div>
    <w:div w:id="810901682">
      <w:bodyDiv w:val="1"/>
      <w:marLeft w:val="0"/>
      <w:marRight w:val="0"/>
      <w:marTop w:val="0"/>
      <w:marBottom w:val="0"/>
      <w:divBdr>
        <w:top w:val="none" w:sz="0" w:space="0" w:color="auto"/>
        <w:left w:val="none" w:sz="0" w:space="0" w:color="auto"/>
        <w:bottom w:val="none" w:sz="0" w:space="0" w:color="auto"/>
        <w:right w:val="none" w:sz="0" w:space="0" w:color="auto"/>
      </w:divBdr>
    </w:div>
    <w:div w:id="898052316">
      <w:bodyDiv w:val="1"/>
      <w:marLeft w:val="0"/>
      <w:marRight w:val="0"/>
      <w:marTop w:val="0"/>
      <w:marBottom w:val="0"/>
      <w:divBdr>
        <w:top w:val="none" w:sz="0" w:space="0" w:color="auto"/>
        <w:left w:val="none" w:sz="0" w:space="0" w:color="auto"/>
        <w:bottom w:val="none" w:sz="0" w:space="0" w:color="auto"/>
        <w:right w:val="none" w:sz="0" w:space="0" w:color="auto"/>
      </w:divBdr>
    </w:div>
    <w:div w:id="949165808">
      <w:bodyDiv w:val="1"/>
      <w:marLeft w:val="0"/>
      <w:marRight w:val="0"/>
      <w:marTop w:val="0"/>
      <w:marBottom w:val="0"/>
      <w:divBdr>
        <w:top w:val="none" w:sz="0" w:space="0" w:color="auto"/>
        <w:left w:val="none" w:sz="0" w:space="0" w:color="auto"/>
        <w:bottom w:val="none" w:sz="0" w:space="0" w:color="auto"/>
        <w:right w:val="none" w:sz="0" w:space="0" w:color="auto"/>
      </w:divBdr>
    </w:div>
    <w:div w:id="957641534">
      <w:bodyDiv w:val="1"/>
      <w:marLeft w:val="0"/>
      <w:marRight w:val="0"/>
      <w:marTop w:val="0"/>
      <w:marBottom w:val="0"/>
      <w:divBdr>
        <w:top w:val="none" w:sz="0" w:space="0" w:color="auto"/>
        <w:left w:val="none" w:sz="0" w:space="0" w:color="auto"/>
        <w:bottom w:val="none" w:sz="0" w:space="0" w:color="auto"/>
        <w:right w:val="none" w:sz="0" w:space="0" w:color="auto"/>
      </w:divBdr>
    </w:div>
    <w:div w:id="981345312">
      <w:bodyDiv w:val="1"/>
      <w:marLeft w:val="0"/>
      <w:marRight w:val="0"/>
      <w:marTop w:val="0"/>
      <w:marBottom w:val="0"/>
      <w:divBdr>
        <w:top w:val="none" w:sz="0" w:space="0" w:color="auto"/>
        <w:left w:val="none" w:sz="0" w:space="0" w:color="auto"/>
        <w:bottom w:val="none" w:sz="0" w:space="0" w:color="auto"/>
        <w:right w:val="none" w:sz="0" w:space="0" w:color="auto"/>
      </w:divBdr>
    </w:div>
    <w:div w:id="1012226981">
      <w:bodyDiv w:val="1"/>
      <w:marLeft w:val="0"/>
      <w:marRight w:val="0"/>
      <w:marTop w:val="0"/>
      <w:marBottom w:val="0"/>
      <w:divBdr>
        <w:top w:val="none" w:sz="0" w:space="0" w:color="auto"/>
        <w:left w:val="none" w:sz="0" w:space="0" w:color="auto"/>
        <w:bottom w:val="none" w:sz="0" w:space="0" w:color="auto"/>
        <w:right w:val="none" w:sz="0" w:space="0" w:color="auto"/>
      </w:divBdr>
    </w:div>
    <w:div w:id="1048534434">
      <w:bodyDiv w:val="1"/>
      <w:marLeft w:val="0"/>
      <w:marRight w:val="0"/>
      <w:marTop w:val="0"/>
      <w:marBottom w:val="0"/>
      <w:divBdr>
        <w:top w:val="none" w:sz="0" w:space="0" w:color="auto"/>
        <w:left w:val="none" w:sz="0" w:space="0" w:color="auto"/>
        <w:bottom w:val="none" w:sz="0" w:space="0" w:color="auto"/>
        <w:right w:val="none" w:sz="0" w:space="0" w:color="auto"/>
      </w:divBdr>
    </w:div>
    <w:div w:id="1057096262">
      <w:bodyDiv w:val="1"/>
      <w:marLeft w:val="0"/>
      <w:marRight w:val="0"/>
      <w:marTop w:val="0"/>
      <w:marBottom w:val="0"/>
      <w:divBdr>
        <w:top w:val="none" w:sz="0" w:space="0" w:color="auto"/>
        <w:left w:val="none" w:sz="0" w:space="0" w:color="auto"/>
        <w:bottom w:val="none" w:sz="0" w:space="0" w:color="auto"/>
        <w:right w:val="none" w:sz="0" w:space="0" w:color="auto"/>
      </w:divBdr>
    </w:div>
    <w:div w:id="1064723397">
      <w:bodyDiv w:val="1"/>
      <w:marLeft w:val="0"/>
      <w:marRight w:val="0"/>
      <w:marTop w:val="0"/>
      <w:marBottom w:val="0"/>
      <w:divBdr>
        <w:top w:val="none" w:sz="0" w:space="0" w:color="auto"/>
        <w:left w:val="none" w:sz="0" w:space="0" w:color="auto"/>
        <w:bottom w:val="none" w:sz="0" w:space="0" w:color="auto"/>
        <w:right w:val="none" w:sz="0" w:space="0" w:color="auto"/>
      </w:divBdr>
    </w:div>
    <w:div w:id="1065178785">
      <w:bodyDiv w:val="1"/>
      <w:marLeft w:val="0"/>
      <w:marRight w:val="0"/>
      <w:marTop w:val="0"/>
      <w:marBottom w:val="0"/>
      <w:divBdr>
        <w:top w:val="none" w:sz="0" w:space="0" w:color="auto"/>
        <w:left w:val="none" w:sz="0" w:space="0" w:color="auto"/>
        <w:bottom w:val="none" w:sz="0" w:space="0" w:color="auto"/>
        <w:right w:val="none" w:sz="0" w:space="0" w:color="auto"/>
      </w:divBdr>
    </w:div>
    <w:div w:id="1177816086">
      <w:bodyDiv w:val="1"/>
      <w:marLeft w:val="0"/>
      <w:marRight w:val="0"/>
      <w:marTop w:val="0"/>
      <w:marBottom w:val="0"/>
      <w:divBdr>
        <w:top w:val="none" w:sz="0" w:space="0" w:color="auto"/>
        <w:left w:val="none" w:sz="0" w:space="0" w:color="auto"/>
        <w:bottom w:val="none" w:sz="0" w:space="0" w:color="auto"/>
        <w:right w:val="none" w:sz="0" w:space="0" w:color="auto"/>
      </w:divBdr>
    </w:div>
    <w:div w:id="1277299123">
      <w:bodyDiv w:val="1"/>
      <w:marLeft w:val="0"/>
      <w:marRight w:val="0"/>
      <w:marTop w:val="0"/>
      <w:marBottom w:val="0"/>
      <w:divBdr>
        <w:top w:val="none" w:sz="0" w:space="0" w:color="auto"/>
        <w:left w:val="none" w:sz="0" w:space="0" w:color="auto"/>
        <w:bottom w:val="none" w:sz="0" w:space="0" w:color="auto"/>
        <w:right w:val="none" w:sz="0" w:space="0" w:color="auto"/>
      </w:divBdr>
    </w:div>
    <w:div w:id="1278098408">
      <w:bodyDiv w:val="1"/>
      <w:marLeft w:val="0"/>
      <w:marRight w:val="0"/>
      <w:marTop w:val="0"/>
      <w:marBottom w:val="0"/>
      <w:divBdr>
        <w:top w:val="none" w:sz="0" w:space="0" w:color="auto"/>
        <w:left w:val="none" w:sz="0" w:space="0" w:color="auto"/>
        <w:bottom w:val="none" w:sz="0" w:space="0" w:color="auto"/>
        <w:right w:val="none" w:sz="0" w:space="0" w:color="auto"/>
      </w:divBdr>
    </w:div>
    <w:div w:id="1344669788">
      <w:bodyDiv w:val="1"/>
      <w:marLeft w:val="0"/>
      <w:marRight w:val="0"/>
      <w:marTop w:val="0"/>
      <w:marBottom w:val="0"/>
      <w:divBdr>
        <w:top w:val="none" w:sz="0" w:space="0" w:color="auto"/>
        <w:left w:val="none" w:sz="0" w:space="0" w:color="auto"/>
        <w:bottom w:val="none" w:sz="0" w:space="0" w:color="auto"/>
        <w:right w:val="none" w:sz="0" w:space="0" w:color="auto"/>
      </w:divBdr>
    </w:div>
    <w:div w:id="1354116699">
      <w:bodyDiv w:val="1"/>
      <w:marLeft w:val="0"/>
      <w:marRight w:val="0"/>
      <w:marTop w:val="0"/>
      <w:marBottom w:val="0"/>
      <w:divBdr>
        <w:top w:val="none" w:sz="0" w:space="0" w:color="auto"/>
        <w:left w:val="none" w:sz="0" w:space="0" w:color="auto"/>
        <w:bottom w:val="none" w:sz="0" w:space="0" w:color="auto"/>
        <w:right w:val="none" w:sz="0" w:space="0" w:color="auto"/>
      </w:divBdr>
    </w:div>
    <w:div w:id="1366978455">
      <w:bodyDiv w:val="1"/>
      <w:marLeft w:val="0"/>
      <w:marRight w:val="0"/>
      <w:marTop w:val="0"/>
      <w:marBottom w:val="0"/>
      <w:divBdr>
        <w:top w:val="none" w:sz="0" w:space="0" w:color="auto"/>
        <w:left w:val="none" w:sz="0" w:space="0" w:color="auto"/>
        <w:bottom w:val="none" w:sz="0" w:space="0" w:color="auto"/>
        <w:right w:val="none" w:sz="0" w:space="0" w:color="auto"/>
      </w:divBdr>
    </w:div>
    <w:div w:id="1386757497">
      <w:bodyDiv w:val="1"/>
      <w:marLeft w:val="0"/>
      <w:marRight w:val="0"/>
      <w:marTop w:val="0"/>
      <w:marBottom w:val="0"/>
      <w:divBdr>
        <w:top w:val="none" w:sz="0" w:space="0" w:color="auto"/>
        <w:left w:val="none" w:sz="0" w:space="0" w:color="auto"/>
        <w:bottom w:val="none" w:sz="0" w:space="0" w:color="auto"/>
        <w:right w:val="none" w:sz="0" w:space="0" w:color="auto"/>
      </w:divBdr>
    </w:div>
    <w:div w:id="1553812906">
      <w:bodyDiv w:val="1"/>
      <w:marLeft w:val="0"/>
      <w:marRight w:val="0"/>
      <w:marTop w:val="0"/>
      <w:marBottom w:val="0"/>
      <w:divBdr>
        <w:top w:val="none" w:sz="0" w:space="0" w:color="auto"/>
        <w:left w:val="none" w:sz="0" w:space="0" w:color="auto"/>
        <w:bottom w:val="none" w:sz="0" w:space="0" w:color="auto"/>
        <w:right w:val="none" w:sz="0" w:space="0" w:color="auto"/>
      </w:divBdr>
    </w:div>
    <w:div w:id="1592163066">
      <w:bodyDiv w:val="1"/>
      <w:marLeft w:val="0"/>
      <w:marRight w:val="0"/>
      <w:marTop w:val="0"/>
      <w:marBottom w:val="0"/>
      <w:divBdr>
        <w:top w:val="none" w:sz="0" w:space="0" w:color="auto"/>
        <w:left w:val="none" w:sz="0" w:space="0" w:color="auto"/>
        <w:bottom w:val="none" w:sz="0" w:space="0" w:color="auto"/>
        <w:right w:val="none" w:sz="0" w:space="0" w:color="auto"/>
      </w:divBdr>
    </w:div>
    <w:div w:id="1598825080">
      <w:bodyDiv w:val="1"/>
      <w:marLeft w:val="0"/>
      <w:marRight w:val="0"/>
      <w:marTop w:val="0"/>
      <w:marBottom w:val="0"/>
      <w:divBdr>
        <w:top w:val="none" w:sz="0" w:space="0" w:color="auto"/>
        <w:left w:val="none" w:sz="0" w:space="0" w:color="auto"/>
        <w:bottom w:val="none" w:sz="0" w:space="0" w:color="auto"/>
        <w:right w:val="none" w:sz="0" w:space="0" w:color="auto"/>
      </w:divBdr>
    </w:div>
    <w:div w:id="1621961027">
      <w:bodyDiv w:val="1"/>
      <w:marLeft w:val="0"/>
      <w:marRight w:val="0"/>
      <w:marTop w:val="0"/>
      <w:marBottom w:val="0"/>
      <w:divBdr>
        <w:top w:val="none" w:sz="0" w:space="0" w:color="auto"/>
        <w:left w:val="none" w:sz="0" w:space="0" w:color="auto"/>
        <w:bottom w:val="none" w:sz="0" w:space="0" w:color="auto"/>
        <w:right w:val="none" w:sz="0" w:space="0" w:color="auto"/>
      </w:divBdr>
    </w:div>
    <w:div w:id="1623686957">
      <w:bodyDiv w:val="1"/>
      <w:marLeft w:val="0"/>
      <w:marRight w:val="0"/>
      <w:marTop w:val="0"/>
      <w:marBottom w:val="0"/>
      <w:divBdr>
        <w:top w:val="none" w:sz="0" w:space="0" w:color="auto"/>
        <w:left w:val="none" w:sz="0" w:space="0" w:color="auto"/>
        <w:bottom w:val="none" w:sz="0" w:space="0" w:color="auto"/>
        <w:right w:val="none" w:sz="0" w:space="0" w:color="auto"/>
      </w:divBdr>
    </w:div>
    <w:div w:id="1636376417">
      <w:bodyDiv w:val="1"/>
      <w:marLeft w:val="0"/>
      <w:marRight w:val="0"/>
      <w:marTop w:val="0"/>
      <w:marBottom w:val="0"/>
      <w:divBdr>
        <w:top w:val="none" w:sz="0" w:space="0" w:color="auto"/>
        <w:left w:val="none" w:sz="0" w:space="0" w:color="auto"/>
        <w:bottom w:val="none" w:sz="0" w:space="0" w:color="auto"/>
        <w:right w:val="none" w:sz="0" w:space="0" w:color="auto"/>
      </w:divBdr>
    </w:div>
    <w:div w:id="1698651368">
      <w:bodyDiv w:val="1"/>
      <w:marLeft w:val="0"/>
      <w:marRight w:val="0"/>
      <w:marTop w:val="0"/>
      <w:marBottom w:val="0"/>
      <w:divBdr>
        <w:top w:val="none" w:sz="0" w:space="0" w:color="auto"/>
        <w:left w:val="none" w:sz="0" w:space="0" w:color="auto"/>
        <w:bottom w:val="none" w:sz="0" w:space="0" w:color="auto"/>
        <w:right w:val="none" w:sz="0" w:space="0" w:color="auto"/>
      </w:divBdr>
    </w:div>
    <w:div w:id="1716664168">
      <w:bodyDiv w:val="1"/>
      <w:marLeft w:val="0"/>
      <w:marRight w:val="0"/>
      <w:marTop w:val="0"/>
      <w:marBottom w:val="0"/>
      <w:divBdr>
        <w:top w:val="none" w:sz="0" w:space="0" w:color="auto"/>
        <w:left w:val="none" w:sz="0" w:space="0" w:color="auto"/>
        <w:bottom w:val="none" w:sz="0" w:space="0" w:color="auto"/>
        <w:right w:val="none" w:sz="0" w:space="0" w:color="auto"/>
      </w:divBdr>
    </w:div>
    <w:div w:id="1719738241">
      <w:bodyDiv w:val="1"/>
      <w:marLeft w:val="0"/>
      <w:marRight w:val="0"/>
      <w:marTop w:val="0"/>
      <w:marBottom w:val="0"/>
      <w:divBdr>
        <w:top w:val="none" w:sz="0" w:space="0" w:color="auto"/>
        <w:left w:val="none" w:sz="0" w:space="0" w:color="auto"/>
        <w:bottom w:val="none" w:sz="0" w:space="0" w:color="auto"/>
        <w:right w:val="none" w:sz="0" w:space="0" w:color="auto"/>
      </w:divBdr>
    </w:div>
    <w:div w:id="1793017448">
      <w:bodyDiv w:val="1"/>
      <w:marLeft w:val="0"/>
      <w:marRight w:val="0"/>
      <w:marTop w:val="0"/>
      <w:marBottom w:val="0"/>
      <w:divBdr>
        <w:top w:val="none" w:sz="0" w:space="0" w:color="auto"/>
        <w:left w:val="none" w:sz="0" w:space="0" w:color="auto"/>
        <w:bottom w:val="none" w:sz="0" w:space="0" w:color="auto"/>
        <w:right w:val="none" w:sz="0" w:space="0" w:color="auto"/>
      </w:divBdr>
    </w:div>
    <w:div w:id="1894537118">
      <w:bodyDiv w:val="1"/>
      <w:marLeft w:val="0"/>
      <w:marRight w:val="0"/>
      <w:marTop w:val="0"/>
      <w:marBottom w:val="0"/>
      <w:divBdr>
        <w:top w:val="none" w:sz="0" w:space="0" w:color="auto"/>
        <w:left w:val="none" w:sz="0" w:space="0" w:color="auto"/>
        <w:bottom w:val="none" w:sz="0" w:space="0" w:color="auto"/>
        <w:right w:val="none" w:sz="0" w:space="0" w:color="auto"/>
      </w:divBdr>
    </w:div>
    <w:div w:id="1915774691">
      <w:bodyDiv w:val="1"/>
      <w:marLeft w:val="0"/>
      <w:marRight w:val="0"/>
      <w:marTop w:val="0"/>
      <w:marBottom w:val="0"/>
      <w:divBdr>
        <w:top w:val="none" w:sz="0" w:space="0" w:color="auto"/>
        <w:left w:val="none" w:sz="0" w:space="0" w:color="auto"/>
        <w:bottom w:val="none" w:sz="0" w:space="0" w:color="auto"/>
        <w:right w:val="none" w:sz="0" w:space="0" w:color="auto"/>
      </w:divBdr>
    </w:div>
    <w:div w:id="1952860710">
      <w:bodyDiv w:val="1"/>
      <w:marLeft w:val="0"/>
      <w:marRight w:val="0"/>
      <w:marTop w:val="0"/>
      <w:marBottom w:val="0"/>
      <w:divBdr>
        <w:top w:val="none" w:sz="0" w:space="0" w:color="auto"/>
        <w:left w:val="none" w:sz="0" w:space="0" w:color="auto"/>
        <w:bottom w:val="none" w:sz="0" w:space="0" w:color="auto"/>
        <w:right w:val="none" w:sz="0" w:space="0" w:color="auto"/>
      </w:divBdr>
    </w:div>
    <w:div w:id="1973899073">
      <w:bodyDiv w:val="1"/>
      <w:marLeft w:val="0"/>
      <w:marRight w:val="0"/>
      <w:marTop w:val="0"/>
      <w:marBottom w:val="0"/>
      <w:divBdr>
        <w:top w:val="none" w:sz="0" w:space="0" w:color="auto"/>
        <w:left w:val="none" w:sz="0" w:space="0" w:color="auto"/>
        <w:bottom w:val="none" w:sz="0" w:space="0" w:color="auto"/>
        <w:right w:val="none" w:sz="0" w:space="0" w:color="auto"/>
      </w:divBdr>
    </w:div>
    <w:div w:id="2009284484">
      <w:bodyDiv w:val="1"/>
      <w:marLeft w:val="0"/>
      <w:marRight w:val="0"/>
      <w:marTop w:val="0"/>
      <w:marBottom w:val="0"/>
      <w:divBdr>
        <w:top w:val="none" w:sz="0" w:space="0" w:color="auto"/>
        <w:left w:val="none" w:sz="0" w:space="0" w:color="auto"/>
        <w:bottom w:val="none" w:sz="0" w:space="0" w:color="auto"/>
        <w:right w:val="none" w:sz="0" w:space="0" w:color="auto"/>
      </w:divBdr>
    </w:div>
    <w:div w:id="2033257941">
      <w:bodyDiv w:val="1"/>
      <w:marLeft w:val="0"/>
      <w:marRight w:val="0"/>
      <w:marTop w:val="0"/>
      <w:marBottom w:val="0"/>
      <w:divBdr>
        <w:top w:val="none" w:sz="0" w:space="0" w:color="auto"/>
        <w:left w:val="none" w:sz="0" w:space="0" w:color="auto"/>
        <w:bottom w:val="none" w:sz="0" w:space="0" w:color="auto"/>
        <w:right w:val="none" w:sz="0" w:space="0" w:color="auto"/>
      </w:divBdr>
    </w:div>
    <w:div w:id="2088264313">
      <w:bodyDiv w:val="1"/>
      <w:marLeft w:val="0"/>
      <w:marRight w:val="0"/>
      <w:marTop w:val="0"/>
      <w:marBottom w:val="0"/>
      <w:divBdr>
        <w:top w:val="none" w:sz="0" w:space="0" w:color="auto"/>
        <w:left w:val="none" w:sz="0" w:space="0" w:color="auto"/>
        <w:bottom w:val="none" w:sz="0" w:space="0" w:color="auto"/>
        <w:right w:val="none" w:sz="0" w:space="0" w:color="auto"/>
      </w:divBdr>
    </w:div>
    <w:div w:id="211474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6D80C-C577-4D7B-B48D-E377378E4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26</Pages>
  <Words>6951</Words>
  <Characters>39622</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PERATURAN DAERAH KABUPATEN GRESIK</vt:lpstr>
    </vt:vector>
  </TitlesOfParts>
  <Company>PEMDA GRESIK</Company>
  <LinksUpToDate>false</LinksUpToDate>
  <CharactersWithSpaces>46481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PERATURAN DAERAH KABUPATEN GRESIK</dc:title>
  <dc:creator>King Of Kong</dc:creator>
  <cp:lastModifiedBy>user</cp:lastModifiedBy>
  <cp:revision>5</cp:revision>
  <cp:lastPrinted>2025-08-19T07:22:00Z</cp:lastPrinted>
  <dcterms:created xsi:type="dcterms:W3CDTF">2025-08-19T07:24:00Z</dcterms:created>
  <dcterms:modified xsi:type="dcterms:W3CDTF">2025-09-13T10:41:00Z</dcterms:modified>
</cp:coreProperties>
</file>